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F39" w:rsidRDefault="00E51F39" w:rsidP="00E51F39">
      <w:pPr>
        <w:jc w:val="center"/>
        <w:rPr>
          <w:b/>
          <w:sz w:val="24"/>
          <w:szCs w:val="24"/>
        </w:rPr>
      </w:pPr>
      <w:bookmarkStart w:id="0" w:name="_GoBack"/>
      <w:bookmarkEnd w:id="0"/>
      <w:r>
        <w:rPr>
          <w:b/>
          <w:sz w:val="24"/>
          <w:szCs w:val="24"/>
        </w:rPr>
        <w:t>2012 Enterprise Statistics Methodology</w:t>
      </w:r>
    </w:p>
    <w:p w:rsidR="00E51F39" w:rsidRDefault="00E51F39" w:rsidP="00696A74">
      <w:pPr>
        <w:rPr>
          <w:b/>
          <w:sz w:val="24"/>
          <w:szCs w:val="24"/>
        </w:rPr>
      </w:pPr>
    </w:p>
    <w:p w:rsidR="00696A74" w:rsidRPr="00E52DE0" w:rsidRDefault="002A5C55" w:rsidP="00696A74">
      <w:pPr>
        <w:rPr>
          <w:b/>
          <w:sz w:val="24"/>
          <w:szCs w:val="24"/>
        </w:rPr>
      </w:pPr>
      <w:r w:rsidRPr="00E52DE0">
        <w:rPr>
          <w:b/>
          <w:sz w:val="24"/>
          <w:szCs w:val="24"/>
        </w:rPr>
        <w:t>OVERVIEW</w:t>
      </w:r>
    </w:p>
    <w:p w:rsidR="00352630" w:rsidRPr="00E52DE0" w:rsidRDefault="00696A74" w:rsidP="009A503A">
      <w:r w:rsidRPr="00E52DE0">
        <w:t>The Enterprise Statistics Program (ESP) collects enterprise level data from the Report of Organization Survey (</w:t>
      </w:r>
      <w:r w:rsidR="003A76A0" w:rsidRPr="00E52DE0">
        <w:t>also known as</w:t>
      </w:r>
      <w:r w:rsidR="00352630" w:rsidRPr="00E52DE0">
        <w:t xml:space="preserve"> the Company Organization Survey or </w:t>
      </w:r>
      <w:r w:rsidRPr="00E52DE0">
        <w:t xml:space="preserve">COS). The COS is an annual survey whose purpose is to obtain current organization and operating information on </w:t>
      </w:r>
      <w:r w:rsidR="00352630" w:rsidRPr="00E52DE0">
        <w:t xml:space="preserve">large </w:t>
      </w:r>
      <w:r w:rsidRPr="00E52DE0">
        <w:t xml:space="preserve">multi-establishment enterprises in order to maintain the Business Register (BR). </w:t>
      </w:r>
      <w:r w:rsidR="005A55C6" w:rsidRPr="00E52DE0">
        <w:t xml:space="preserve">The BR is a multi-relational database that contains a record for each establishment that is located in the U.S. or Puerto Rico and has employees. </w:t>
      </w:r>
      <w:r w:rsidRPr="00E52DE0">
        <w:t xml:space="preserve">During Economic Census years (years that end with 2 or 7), the COS </w:t>
      </w:r>
      <w:r w:rsidR="00352630" w:rsidRPr="00E52DE0">
        <w:t xml:space="preserve">is expanded to cover all multi-establishment enterprises </w:t>
      </w:r>
      <w:r w:rsidR="00CE44FD" w:rsidRPr="00E52DE0">
        <w:t xml:space="preserve">(large and small) </w:t>
      </w:r>
      <w:r w:rsidR="00352630" w:rsidRPr="00E52DE0">
        <w:t xml:space="preserve">and </w:t>
      </w:r>
      <w:r w:rsidRPr="00E52DE0">
        <w:t xml:space="preserve">is conducted jointly with the Economic Census to reduce respondent burden. </w:t>
      </w:r>
      <w:r w:rsidR="005A55C6" w:rsidRPr="00E52DE0">
        <w:t xml:space="preserve">See the </w:t>
      </w:r>
      <w:hyperlink r:id="rId8" w:history="1">
        <w:r w:rsidR="005A55C6" w:rsidRPr="00E52DE0">
          <w:rPr>
            <w:rStyle w:val="Hyperlink"/>
          </w:rPr>
          <w:t>Report of Organization</w:t>
        </w:r>
      </w:hyperlink>
      <w:r w:rsidR="005A55C6" w:rsidRPr="00E52DE0">
        <w:t xml:space="preserve"> for further information.</w:t>
      </w:r>
    </w:p>
    <w:p w:rsidR="00696A74" w:rsidRPr="00E52DE0" w:rsidRDefault="00696A74" w:rsidP="009A503A">
      <w:r w:rsidRPr="00E52DE0">
        <w:t>The Enterprise Statistics Program provides key measures of comprehensive company-wide data, including company support organization and selected financial activities. The enterprise-level data is useful in various economic programs. Researchers use the data to study trends in enterprises over time.</w:t>
      </w:r>
    </w:p>
    <w:p w:rsidR="003C6180" w:rsidRPr="00E52DE0" w:rsidRDefault="003C6180" w:rsidP="009A503A">
      <w:pPr>
        <w:rPr>
          <w:b/>
        </w:rPr>
      </w:pPr>
      <w:r w:rsidRPr="00E52DE0">
        <w:rPr>
          <w:b/>
        </w:rPr>
        <w:t>Historical Information</w:t>
      </w:r>
    </w:p>
    <w:p w:rsidR="003C6180" w:rsidRPr="00E52DE0" w:rsidRDefault="003C6180" w:rsidP="009A503A">
      <w:r w:rsidRPr="00E52DE0">
        <w:t xml:space="preserve">The Enterprise Statistics Program was discontinued after 1992. No publications are available between 1992 and 2007. Please note that </w:t>
      </w:r>
      <w:r w:rsidR="00EF718F" w:rsidRPr="00E52DE0">
        <w:t xml:space="preserve">the </w:t>
      </w:r>
      <w:r w:rsidRPr="00E52DE0">
        <w:t xml:space="preserve">data are not comparable between survey periods. Refer to the methodology section of each publication for more information. After evaluation studies using 2007 and 2011 data, the program was reinstituted with the 2012 Economic </w:t>
      </w:r>
      <w:r w:rsidR="009A503A" w:rsidRPr="00E52DE0">
        <w:t>Census.</w:t>
      </w:r>
      <w:r w:rsidR="002526F2" w:rsidRPr="00E52DE0">
        <w:t xml:space="preserve"> See </w:t>
      </w:r>
      <w:hyperlink r:id="rId9" w:history="1">
        <w:r w:rsidR="002526F2" w:rsidRPr="00E52DE0">
          <w:rPr>
            <w:rStyle w:val="Hyperlink"/>
          </w:rPr>
          <w:t>ESP Historical Data</w:t>
        </w:r>
      </w:hyperlink>
      <w:r w:rsidR="002526F2" w:rsidRPr="00E52DE0">
        <w:t xml:space="preserve"> for further information.</w:t>
      </w:r>
    </w:p>
    <w:p w:rsidR="00E51F39" w:rsidRDefault="00E51F39" w:rsidP="005C1BED">
      <w:pPr>
        <w:rPr>
          <w:b/>
          <w:sz w:val="24"/>
          <w:szCs w:val="24"/>
        </w:rPr>
      </w:pPr>
    </w:p>
    <w:p w:rsidR="005C1BED" w:rsidRPr="00E52DE0" w:rsidRDefault="005C1BED" w:rsidP="005C1BED">
      <w:pPr>
        <w:rPr>
          <w:b/>
          <w:sz w:val="24"/>
          <w:szCs w:val="24"/>
        </w:rPr>
      </w:pPr>
      <w:r w:rsidRPr="00E52DE0">
        <w:rPr>
          <w:b/>
          <w:sz w:val="24"/>
          <w:szCs w:val="24"/>
        </w:rPr>
        <w:t>INDUSTRY COVERAGE</w:t>
      </w:r>
    </w:p>
    <w:p w:rsidR="005C0F3B" w:rsidRPr="00E52DE0" w:rsidRDefault="005C1BED" w:rsidP="001B1053">
      <w:r w:rsidRPr="00E52DE0">
        <w:t xml:space="preserve">2012 Enterprise Statistics data are published according to the 2012 North American Industry Classification System (NAICS). NAICS was first adopted in the United States, Canada, and Mexico in 1997 to facilitate the comparison of industrial statistics between the three countries.  </w:t>
      </w:r>
    </w:p>
    <w:p w:rsidR="00E51F39" w:rsidRDefault="00E51F39">
      <w:r>
        <w:br w:type="page"/>
      </w:r>
    </w:p>
    <w:p w:rsidR="005C1BED" w:rsidRPr="00E52DE0" w:rsidRDefault="005C1BED" w:rsidP="001B1053">
      <w:r w:rsidRPr="00E52DE0">
        <w:lastRenderedPageBreak/>
        <w:t>The Enterprise Statistics Program (ESP) covers</w:t>
      </w:r>
      <w:r w:rsidR="009119F9" w:rsidRPr="00E52DE0">
        <w:t xml:space="preserve"> all or part of</w:t>
      </w:r>
      <w:r w:rsidRPr="00E52DE0">
        <w:t xml:space="preserve"> the following NAICS sectors</w:t>
      </w:r>
      <w:r w:rsidR="009D6C40">
        <w:t xml:space="preserve"> (exclusions are </w:t>
      </w:r>
      <w:r w:rsidR="009119F9" w:rsidRPr="00E52DE0">
        <w:t>shown in Table 2)</w:t>
      </w:r>
      <w:r w:rsidRPr="00E52DE0">
        <w:t>:</w:t>
      </w:r>
    </w:p>
    <w:p w:rsidR="009A503A" w:rsidRPr="00E52DE0" w:rsidRDefault="009A503A" w:rsidP="009A503A">
      <w:pPr>
        <w:spacing w:after="0"/>
        <w:rPr>
          <w:b/>
          <w:i/>
        </w:rPr>
      </w:pPr>
      <w:r w:rsidRPr="00E52DE0">
        <w:rPr>
          <w:b/>
          <w:i/>
        </w:rPr>
        <w:t>Table 1: Sector In-Scope to the Enterprise Statistics Program</w:t>
      </w:r>
    </w:p>
    <w:tbl>
      <w:tblPr>
        <w:tblStyle w:val="TableGrid"/>
        <w:tblW w:w="0" w:type="auto"/>
        <w:tblInd w:w="108" w:type="dxa"/>
        <w:tblLook w:val="04A0" w:firstRow="1" w:lastRow="0" w:firstColumn="1" w:lastColumn="0" w:noHBand="0" w:noVBand="1"/>
      </w:tblPr>
      <w:tblGrid>
        <w:gridCol w:w="796"/>
        <w:gridCol w:w="7214"/>
      </w:tblGrid>
      <w:tr w:rsidR="005C1BED" w:rsidRPr="00E52DE0" w:rsidTr="00800A81">
        <w:trPr>
          <w:tblHeader/>
        </w:trPr>
        <w:tc>
          <w:tcPr>
            <w:tcW w:w="796" w:type="dxa"/>
            <w:tcBorders>
              <w:bottom w:val="double" w:sz="4" w:space="0" w:color="auto"/>
            </w:tcBorders>
            <w:shd w:val="clear" w:color="auto" w:fill="D9D9D9" w:themeFill="background1" w:themeFillShade="D9"/>
          </w:tcPr>
          <w:p w:rsidR="005C1BED" w:rsidRPr="00E52DE0" w:rsidRDefault="005C1BED" w:rsidP="005C1BED">
            <w:pPr>
              <w:jc w:val="center"/>
              <w:rPr>
                <w:b/>
              </w:rPr>
            </w:pPr>
            <w:r w:rsidRPr="00E52DE0">
              <w:rPr>
                <w:b/>
              </w:rPr>
              <w:t>Sector</w:t>
            </w:r>
          </w:p>
        </w:tc>
        <w:tc>
          <w:tcPr>
            <w:tcW w:w="7214" w:type="dxa"/>
            <w:tcBorders>
              <w:bottom w:val="double" w:sz="4" w:space="0" w:color="auto"/>
            </w:tcBorders>
            <w:shd w:val="clear" w:color="auto" w:fill="D9D9D9" w:themeFill="background1" w:themeFillShade="D9"/>
          </w:tcPr>
          <w:p w:rsidR="005C1BED" w:rsidRPr="00E52DE0" w:rsidRDefault="005C1BED" w:rsidP="005C1BED">
            <w:pPr>
              <w:jc w:val="center"/>
              <w:rPr>
                <w:b/>
              </w:rPr>
            </w:pPr>
            <w:r w:rsidRPr="00E52DE0">
              <w:rPr>
                <w:b/>
              </w:rPr>
              <w:t>Description</w:t>
            </w:r>
          </w:p>
        </w:tc>
      </w:tr>
      <w:tr w:rsidR="002526F2" w:rsidRPr="00E52DE0" w:rsidTr="005C1BED">
        <w:tc>
          <w:tcPr>
            <w:tcW w:w="796" w:type="dxa"/>
            <w:tcBorders>
              <w:top w:val="double" w:sz="4" w:space="0" w:color="auto"/>
            </w:tcBorders>
          </w:tcPr>
          <w:p w:rsidR="002526F2" w:rsidRPr="00E52DE0" w:rsidRDefault="00B06D59">
            <w:pPr>
              <w:rPr>
                <w:sz w:val="20"/>
                <w:szCs w:val="20"/>
              </w:rPr>
            </w:pPr>
            <w:hyperlink r:id="rId10" w:tgtFrame="_blank" w:history="1">
              <w:r w:rsidR="002526F2" w:rsidRPr="00E52DE0">
                <w:rPr>
                  <w:rStyle w:val="Hyperlink"/>
                  <w:rFonts w:eastAsia="Times New Roman" w:cs="Times New Roman"/>
                  <w:color w:val="0000FF"/>
                  <w:sz w:val="20"/>
                  <w:szCs w:val="20"/>
                </w:rPr>
                <w:t>21</w:t>
              </w:r>
            </w:hyperlink>
          </w:p>
        </w:tc>
        <w:tc>
          <w:tcPr>
            <w:tcW w:w="7214" w:type="dxa"/>
            <w:tcBorders>
              <w:top w:val="double" w:sz="4" w:space="0" w:color="auto"/>
            </w:tcBorders>
          </w:tcPr>
          <w:p w:rsidR="002526F2" w:rsidRPr="00E52DE0" w:rsidRDefault="002526F2" w:rsidP="005C1BED">
            <w:pPr>
              <w:rPr>
                <w:sz w:val="20"/>
                <w:szCs w:val="20"/>
              </w:rPr>
            </w:pPr>
            <w:r w:rsidRPr="00E52DE0">
              <w:rPr>
                <w:sz w:val="20"/>
                <w:szCs w:val="20"/>
              </w:rPr>
              <w:t>Mining</w:t>
            </w:r>
          </w:p>
        </w:tc>
      </w:tr>
      <w:tr w:rsidR="002526F2" w:rsidRPr="00E52DE0" w:rsidTr="005C1BED">
        <w:tc>
          <w:tcPr>
            <w:tcW w:w="796" w:type="dxa"/>
          </w:tcPr>
          <w:p w:rsidR="002526F2" w:rsidRPr="00E52DE0" w:rsidRDefault="00B06D59">
            <w:pPr>
              <w:rPr>
                <w:sz w:val="20"/>
                <w:szCs w:val="20"/>
              </w:rPr>
            </w:pPr>
            <w:hyperlink r:id="rId11" w:tgtFrame="_blank" w:history="1">
              <w:r w:rsidR="002526F2" w:rsidRPr="00E52DE0">
                <w:rPr>
                  <w:rStyle w:val="Hyperlink"/>
                  <w:rFonts w:eastAsia="Times New Roman" w:cs="Times New Roman"/>
                  <w:color w:val="0000FF"/>
                  <w:sz w:val="20"/>
                  <w:szCs w:val="20"/>
                </w:rPr>
                <w:t>22</w:t>
              </w:r>
            </w:hyperlink>
          </w:p>
        </w:tc>
        <w:tc>
          <w:tcPr>
            <w:tcW w:w="7214" w:type="dxa"/>
          </w:tcPr>
          <w:p w:rsidR="002526F2" w:rsidRPr="00E52DE0" w:rsidRDefault="002526F2" w:rsidP="005C1BED">
            <w:pPr>
              <w:rPr>
                <w:sz w:val="20"/>
                <w:szCs w:val="20"/>
              </w:rPr>
            </w:pPr>
            <w:r w:rsidRPr="00E52DE0">
              <w:rPr>
                <w:sz w:val="20"/>
                <w:szCs w:val="20"/>
              </w:rPr>
              <w:t>Utilities</w:t>
            </w:r>
          </w:p>
        </w:tc>
      </w:tr>
      <w:tr w:rsidR="002526F2" w:rsidRPr="00E52DE0" w:rsidTr="005C1BED">
        <w:tc>
          <w:tcPr>
            <w:tcW w:w="796" w:type="dxa"/>
          </w:tcPr>
          <w:p w:rsidR="002526F2" w:rsidRPr="00E52DE0" w:rsidRDefault="00B06D59">
            <w:pPr>
              <w:rPr>
                <w:sz w:val="20"/>
                <w:szCs w:val="20"/>
              </w:rPr>
            </w:pPr>
            <w:hyperlink r:id="rId12" w:tgtFrame="_blank" w:history="1">
              <w:r w:rsidR="002526F2" w:rsidRPr="00E52DE0">
                <w:rPr>
                  <w:rStyle w:val="Hyperlink"/>
                  <w:rFonts w:eastAsia="Times New Roman" w:cs="Times New Roman"/>
                  <w:color w:val="0000FF"/>
                  <w:sz w:val="20"/>
                  <w:szCs w:val="20"/>
                </w:rPr>
                <w:t>23</w:t>
              </w:r>
            </w:hyperlink>
          </w:p>
        </w:tc>
        <w:tc>
          <w:tcPr>
            <w:tcW w:w="7214" w:type="dxa"/>
          </w:tcPr>
          <w:p w:rsidR="002526F2" w:rsidRPr="00E52DE0" w:rsidRDefault="002526F2" w:rsidP="005C1BED">
            <w:pPr>
              <w:rPr>
                <w:sz w:val="20"/>
                <w:szCs w:val="20"/>
              </w:rPr>
            </w:pPr>
            <w:r w:rsidRPr="00E52DE0">
              <w:rPr>
                <w:sz w:val="20"/>
                <w:szCs w:val="20"/>
              </w:rPr>
              <w:t>Construction</w:t>
            </w:r>
          </w:p>
        </w:tc>
      </w:tr>
      <w:tr w:rsidR="002526F2" w:rsidRPr="00E52DE0" w:rsidTr="005C1BED">
        <w:tc>
          <w:tcPr>
            <w:tcW w:w="796" w:type="dxa"/>
          </w:tcPr>
          <w:p w:rsidR="002526F2" w:rsidRPr="00E52DE0" w:rsidRDefault="00B06D59">
            <w:pPr>
              <w:rPr>
                <w:sz w:val="20"/>
                <w:szCs w:val="20"/>
              </w:rPr>
            </w:pPr>
            <w:hyperlink r:id="rId13" w:tgtFrame="_blank" w:history="1">
              <w:r w:rsidR="002526F2" w:rsidRPr="00E52DE0">
                <w:rPr>
                  <w:rStyle w:val="Hyperlink"/>
                  <w:rFonts w:eastAsia="Times New Roman" w:cs="Times New Roman"/>
                  <w:color w:val="0000FF"/>
                  <w:sz w:val="20"/>
                  <w:szCs w:val="20"/>
                </w:rPr>
                <w:t>31-33</w:t>
              </w:r>
            </w:hyperlink>
          </w:p>
        </w:tc>
        <w:tc>
          <w:tcPr>
            <w:tcW w:w="7214" w:type="dxa"/>
          </w:tcPr>
          <w:p w:rsidR="002526F2" w:rsidRPr="00E52DE0" w:rsidRDefault="002526F2" w:rsidP="005C1BED">
            <w:pPr>
              <w:rPr>
                <w:sz w:val="20"/>
                <w:szCs w:val="20"/>
              </w:rPr>
            </w:pPr>
            <w:r w:rsidRPr="00E52DE0">
              <w:rPr>
                <w:sz w:val="20"/>
                <w:szCs w:val="20"/>
              </w:rPr>
              <w:t>Manufacturing</w:t>
            </w:r>
          </w:p>
        </w:tc>
      </w:tr>
      <w:tr w:rsidR="002526F2" w:rsidRPr="00E52DE0" w:rsidTr="005C1BED">
        <w:tc>
          <w:tcPr>
            <w:tcW w:w="796" w:type="dxa"/>
          </w:tcPr>
          <w:p w:rsidR="002526F2" w:rsidRPr="00E52DE0" w:rsidRDefault="00B06D59">
            <w:pPr>
              <w:rPr>
                <w:sz w:val="20"/>
                <w:szCs w:val="20"/>
              </w:rPr>
            </w:pPr>
            <w:hyperlink r:id="rId14" w:tgtFrame="_blank" w:history="1">
              <w:r w:rsidR="002526F2" w:rsidRPr="00E52DE0">
                <w:rPr>
                  <w:rStyle w:val="Hyperlink"/>
                  <w:rFonts w:eastAsia="Times New Roman" w:cs="Times New Roman"/>
                  <w:color w:val="0000FF"/>
                  <w:sz w:val="20"/>
                  <w:szCs w:val="20"/>
                </w:rPr>
                <w:t>42</w:t>
              </w:r>
            </w:hyperlink>
          </w:p>
        </w:tc>
        <w:tc>
          <w:tcPr>
            <w:tcW w:w="7214" w:type="dxa"/>
          </w:tcPr>
          <w:p w:rsidR="002526F2" w:rsidRPr="00E52DE0" w:rsidRDefault="002526F2" w:rsidP="005C1BED">
            <w:pPr>
              <w:rPr>
                <w:sz w:val="20"/>
                <w:szCs w:val="20"/>
              </w:rPr>
            </w:pPr>
            <w:r w:rsidRPr="00E52DE0">
              <w:rPr>
                <w:sz w:val="20"/>
                <w:szCs w:val="20"/>
              </w:rPr>
              <w:t>Wholesale Trade</w:t>
            </w:r>
          </w:p>
        </w:tc>
      </w:tr>
      <w:tr w:rsidR="002526F2" w:rsidRPr="00E52DE0" w:rsidTr="005C1BED">
        <w:tc>
          <w:tcPr>
            <w:tcW w:w="796" w:type="dxa"/>
          </w:tcPr>
          <w:p w:rsidR="002526F2" w:rsidRPr="00E52DE0" w:rsidRDefault="00B06D59">
            <w:pPr>
              <w:rPr>
                <w:sz w:val="20"/>
                <w:szCs w:val="20"/>
              </w:rPr>
            </w:pPr>
            <w:hyperlink r:id="rId15" w:tgtFrame="_blank" w:history="1">
              <w:r w:rsidR="002526F2" w:rsidRPr="00E52DE0">
                <w:rPr>
                  <w:rStyle w:val="Hyperlink"/>
                  <w:rFonts w:eastAsia="Times New Roman" w:cs="Times New Roman"/>
                  <w:color w:val="0000FF"/>
                  <w:sz w:val="20"/>
                  <w:szCs w:val="20"/>
                </w:rPr>
                <w:t>44-45</w:t>
              </w:r>
            </w:hyperlink>
          </w:p>
        </w:tc>
        <w:tc>
          <w:tcPr>
            <w:tcW w:w="7214" w:type="dxa"/>
          </w:tcPr>
          <w:p w:rsidR="002526F2" w:rsidRPr="00E52DE0" w:rsidRDefault="002526F2" w:rsidP="005C1BED">
            <w:pPr>
              <w:rPr>
                <w:sz w:val="20"/>
                <w:szCs w:val="20"/>
              </w:rPr>
            </w:pPr>
            <w:r w:rsidRPr="00E52DE0">
              <w:rPr>
                <w:sz w:val="20"/>
                <w:szCs w:val="20"/>
              </w:rPr>
              <w:t>Retail Trade</w:t>
            </w:r>
          </w:p>
        </w:tc>
      </w:tr>
      <w:tr w:rsidR="002526F2" w:rsidRPr="00E52DE0" w:rsidTr="005C1BED">
        <w:tc>
          <w:tcPr>
            <w:tcW w:w="796" w:type="dxa"/>
          </w:tcPr>
          <w:p w:rsidR="002526F2" w:rsidRPr="00E52DE0" w:rsidRDefault="00B06D59">
            <w:pPr>
              <w:rPr>
                <w:sz w:val="20"/>
                <w:szCs w:val="20"/>
              </w:rPr>
            </w:pPr>
            <w:hyperlink r:id="rId16" w:tgtFrame="_blank" w:history="1">
              <w:r w:rsidR="002526F2" w:rsidRPr="00E52DE0">
                <w:rPr>
                  <w:rStyle w:val="Hyperlink"/>
                  <w:rFonts w:eastAsia="Times New Roman" w:cs="Times New Roman"/>
                  <w:color w:val="0000FF"/>
                  <w:sz w:val="20"/>
                  <w:szCs w:val="20"/>
                </w:rPr>
                <w:t>48-49</w:t>
              </w:r>
            </w:hyperlink>
          </w:p>
        </w:tc>
        <w:tc>
          <w:tcPr>
            <w:tcW w:w="7214" w:type="dxa"/>
          </w:tcPr>
          <w:p w:rsidR="002526F2" w:rsidRPr="00E52DE0" w:rsidRDefault="002526F2" w:rsidP="005C1BED">
            <w:pPr>
              <w:rPr>
                <w:sz w:val="20"/>
                <w:szCs w:val="20"/>
              </w:rPr>
            </w:pPr>
            <w:r w:rsidRPr="00E52DE0">
              <w:rPr>
                <w:sz w:val="20"/>
                <w:szCs w:val="20"/>
              </w:rPr>
              <w:t>Transportation and Warehousing</w:t>
            </w:r>
          </w:p>
        </w:tc>
      </w:tr>
      <w:tr w:rsidR="002526F2" w:rsidRPr="00E52DE0" w:rsidTr="005C1BED">
        <w:tc>
          <w:tcPr>
            <w:tcW w:w="796" w:type="dxa"/>
          </w:tcPr>
          <w:p w:rsidR="002526F2" w:rsidRPr="00E52DE0" w:rsidRDefault="00B06D59">
            <w:pPr>
              <w:rPr>
                <w:sz w:val="20"/>
                <w:szCs w:val="20"/>
              </w:rPr>
            </w:pPr>
            <w:hyperlink r:id="rId17" w:tgtFrame="_blank" w:history="1">
              <w:r w:rsidR="002526F2" w:rsidRPr="00E52DE0">
                <w:rPr>
                  <w:rStyle w:val="Hyperlink"/>
                  <w:rFonts w:eastAsia="Times New Roman" w:cs="Times New Roman"/>
                  <w:color w:val="0000FF"/>
                  <w:sz w:val="20"/>
                  <w:szCs w:val="20"/>
                </w:rPr>
                <w:t>51</w:t>
              </w:r>
            </w:hyperlink>
          </w:p>
        </w:tc>
        <w:tc>
          <w:tcPr>
            <w:tcW w:w="7214" w:type="dxa"/>
          </w:tcPr>
          <w:p w:rsidR="002526F2" w:rsidRPr="00E52DE0" w:rsidRDefault="002526F2" w:rsidP="005C1BED">
            <w:pPr>
              <w:rPr>
                <w:sz w:val="20"/>
                <w:szCs w:val="20"/>
              </w:rPr>
            </w:pPr>
            <w:r w:rsidRPr="00E52DE0">
              <w:rPr>
                <w:sz w:val="20"/>
                <w:szCs w:val="20"/>
              </w:rPr>
              <w:t>Information</w:t>
            </w:r>
          </w:p>
        </w:tc>
      </w:tr>
      <w:tr w:rsidR="002526F2" w:rsidRPr="00E52DE0" w:rsidTr="005C1BED">
        <w:tc>
          <w:tcPr>
            <w:tcW w:w="796" w:type="dxa"/>
          </w:tcPr>
          <w:p w:rsidR="002526F2" w:rsidRPr="00E52DE0" w:rsidRDefault="00B06D59">
            <w:pPr>
              <w:rPr>
                <w:sz w:val="20"/>
                <w:szCs w:val="20"/>
              </w:rPr>
            </w:pPr>
            <w:hyperlink r:id="rId18" w:tgtFrame="_blank" w:history="1">
              <w:r w:rsidR="002526F2" w:rsidRPr="00E52DE0">
                <w:rPr>
                  <w:rStyle w:val="Hyperlink"/>
                  <w:rFonts w:eastAsia="Times New Roman" w:cs="Times New Roman"/>
                  <w:color w:val="0000FF"/>
                  <w:sz w:val="20"/>
                  <w:szCs w:val="20"/>
                </w:rPr>
                <w:t>52</w:t>
              </w:r>
            </w:hyperlink>
          </w:p>
        </w:tc>
        <w:tc>
          <w:tcPr>
            <w:tcW w:w="7214" w:type="dxa"/>
          </w:tcPr>
          <w:p w:rsidR="002526F2" w:rsidRPr="00E52DE0" w:rsidRDefault="002526F2" w:rsidP="005C1BED">
            <w:pPr>
              <w:rPr>
                <w:sz w:val="20"/>
                <w:szCs w:val="20"/>
              </w:rPr>
            </w:pPr>
            <w:r w:rsidRPr="00E52DE0">
              <w:rPr>
                <w:sz w:val="20"/>
                <w:szCs w:val="20"/>
              </w:rPr>
              <w:t>Finance and Insurance</w:t>
            </w:r>
          </w:p>
        </w:tc>
      </w:tr>
      <w:tr w:rsidR="002526F2" w:rsidRPr="00E52DE0" w:rsidTr="005C1BED">
        <w:tc>
          <w:tcPr>
            <w:tcW w:w="796" w:type="dxa"/>
          </w:tcPr>
          <w:p w:rsidR="002526F2" w:rsidRPr="00E52DE0" w:rsidRDefault="00B06D59">
            <w:pPr>
              <w:rPr>
                <w:sz w:val="20"/>
                <w:szCs w:val="20"/>
              </w:rPr>
            </w:pPr>
            <w:hyperlink r:id="rId19" w:tgtFrame="_blank" w:history="1">
              <w:r w:rsidR="002526F2" w:rsidRPr="00E52DE0">
                <w:rPr>
                  <w:rStyle w:val="Hyperlink"/>
                  <w:rFonts w:eastAsia="Times New Roman" w:cs="Times New Roman"/>
                  <w:color w:val="0000FF"/>
                  <w:sz w:val="20"/>
                  <w:szCs w:val="20"/>
                </w:rPr>
                <w:t>53</w:t>
              </w:r>
            </w:hyperlink>
          </w:p>
        </w:tc>
        <w:tc>
          <w:tcPr>
            <w:tcW w:w="7214" w:type="dxa"/>
          </w:tcPr>
          <w:p w:rsidR="002526F2" w:rsidRPr="00E52DE0" w:rsidRDefault="002526F2" w:rsidP="005C1BED">
            <w:pPr>
              <w:rPr>
                <w:sz w:val="20"/>
                <w:szCs w:val="20"/>
              </w:rPr>
            </w:pPr>
            <w:r w:rsidRPr="00E52DE0">
              <w:rPr>
                <w:sz w:val="20"/>
                <w:szCs w:val="20"/>
              </w:rPr>
              <w:t>Real Estate and Rental and Leasing</w:t>
            </w:r>
          </w:p>
        </w:tc>
      </w:tr>
      <w:tr w:rsidR="002526F2" w:rsidRPr="00E52DE0" w:rsidTr="005C1BED">
        <w:tc>
          <w:tcPr>
            <w:tcW w:w="796" w:type="dxa"/>
          </w:tcPr>
          <w:p w:rsidR="002526F2" w:rsidRPr="00E52DE0" w:rsidRDefault="00B06D59">
            <w:pPr>
              <w:rPr>
                <w:sz w:val="20"/>
                <w:szCs w:val="20"/>
              </w:rPr>
            </w:pPr>
            <w:hyperlink r:id="rId20" w:tgtFrame="_blank" w:history="1">
              <w:r w:rsidR="002526F2" w:rsidRPr="00E52DE0">
                <w:rPr>
                  <w:rStyle w:val="Hyperlink"/>
                  <w:rFonts w:eastAsia="Times New Roman" w:cs="Times New Roman"/>
                  <w:color w:val="0000FF"/>
                  <w:sz w:val="20"/>
                  <w:szCs w:val="20"/>
                </w:rPr>
                <w:t>54</w:t>
              </w:r>
            </w:hyperlink>
          </w:p>
        </w:tc>
        <w:tc>
          <w:tcPr>
            <w:tcW w:w="7214" w:type="dxa"/>
          </w:tcPr>
          <w:p w:rsidR="002526F2" w:rsidRPr="00E52DE0" w:rsidRDefault="002526F2" w:rsidP="005C1BED">
            <w:pPr>
              <w:rPr>
                <w:sz w:val="20"/>
                <w:szCs w:val="20"/>
              </w:rPr>
            </w:pPr>
            <w:r w:rsidRPr="00E52DE0">
              <w:rPr>
                <w:sz w:val="20"/>
                <w:szCs w:val="20"/>
              </w:rPr>
              <w:t>Professional, Scientific, and Technical Services</w:t>
            </w:r>
          </w:p>
        </w:tc>
      </w:tr>
      <w:tr w:rsidR="002526F2" w:rsidRPr="00E52DE0" w:rsidTr="005C1BED">
        <w:tc>
          <w:tcPr>
            <w:tcW w:w="796" w:type="dxa"/>
          </w:tcPr>
          <w:p w:rsidR="002526F2" w:rsidRPr="00E52DE0" w:rsidRDefault="00B06D59">
            <w:pPr>
              <w:rPr>
                <w:sz w:val="20"/>
                <w:szCs w:val="20"/>
              </w:rPr>
            </w:pPr>
            <w:hyperlink r:id="rId21" w:tgtFrame="_blank" w:history="1">
              <w:r w:rsidR="002526F2" w:rsidRPr="00E52DE0">
                <w:rPr>
                  <w:rStyle w:val="Hyperlink"/>
                  <w:rFonts w:eastAsia="Times New Roman" w:cs="Times New Roman"/>
                  <w:color w:val="0000FF"/>
                  <w:sz w:val="20"/>
                  <w:szCs w:val="20"/>
                </w:rPr>
                <w:t>56</w:t>
              </w:r>
            </w:hyperlink>
          </w:p>
        </w:tc>
        <w:tc>
          <w:tcPr>
            <w:tcW w:w="7214" w:type="dxa"/>
          </w:tcPr>
          <w:p w:rsidR="002526F2" w:rsidRPr="00E52DE0" w:rsidRDefault="002526F2" w:rsidP="005C1BED">
            <w:pPr>
              <w:rPr>
                <w:sz w:val="20"/>
                <w:szCs w:val="20"/>
              </w:rPr>
            </w:pPr>
            <w:r w:rsidRPr="00E52DE0">
              <w:rPr>
                <w:sz w:val="20"/>
                <w:szCs w:val="20"/>
              </w:rPr>
              <w:t>Administrative and Support and Waste Management and Remediation Services</w:t>
            </w:r>
          </w:p>
        </w:tc>
      </w:tr>
      <w:tr w:rsidR="002526F2" w:rsidRPr="00E52DE0" w:rsidTr="005C1BED">
        <w:tc>
          <w:tcPr>
            <w:tcW w:w="796" w:type="dxa"/>
          </w:tcPr>
          <w:p w:rsidR="002526F2" w:rsidRPr="00E52DE0" w:rsidRDefault="00B06D59">
            <w:pPr>
              <w:rPr>
                <w:sz w:val="20"/>
                <w:szCs w:val="20"/>
              </w:rPr>
            </w:pPr>
            <w:hyperlink r:id="rId22" w:tgtFrame="_blank" w:history="1">
              <w:r w:rsidR="002526F2" w:rsidRPr="00E52DE0">
                <w:rPr>
                  <w:rStyle w:val="Hyperlink"/>
                  <w:rFonts w:eastAsia="Times New Roman" w:cs="Times New Roman"/>
                  <w:color w:val="0000FF"/>
                  <w:sz w:val="20"/>
                  <w:szCs w:val="20"/>
                </w:rPr>
                <w:t>61</w:t>
              </w:r>
            </w:hyperlink>
          </w:p>
        </w:tc>
        <w:tc>
          <w:tcPr>
            <w:tcW w:w="7214" w:type="dxa"/>
          </w:tcPr>
          <w:p w:rsidR="002526F2" w:rsidRPr="00E52DE0" w:rsidRDefault="002526F2" w:rsidP="005C1BED">
            <w:pPr>
              <w:rPr>
                <w:sz w:val="20"/>
                <w:szCs w:val="20"/>
              </w:rPr>
            </w:pPr>
            <w:r w:rsidRPr="00E52DE0">
              <w:rPr>
                <w:sz w:val="20"/>
                <w:szCs w:val="20"/>
              </w:rPr>
              <w:t>Educational Services</w:t>
            </w:r>
          </w:p>
        </w:tc>
      </w:tr>
      <w:tr w:rsidR="002526F2" w:rsidRPr="00E52DE0" w:rsidTr="005C1BED">
        <w:tc>
          <w:tcPr>
            <w:tcW w:w="796" w:type="dxa"/>
          </w:tcPr>
          <w:p w:rsidR="002526F2" w:rsidRPr="00E52DE0" w:rsidRDefault="00B06D59">
            <w:pPr>
              <w:rPr>
                <w:sz w:val="20"/>
                <w:szCs w:val="20"/>
              </w:rPr>
            </w:pPr>
            <w:hyperlink r:id="rId23" w:tgtFrame="_blank" w:history="1">
              <w:r w:rsidR="002526F2" w:rsidRPr="00E52DE0">
                <w:rPr>
                  <w:rStyle w:val="Hyperlink"/>
                  <w:rFonts w:eastAsia="Times New Roman" w:cs="Times New Roman"/>
                  <w:color w:val="0000FF"/>
                  <w:sz w:val="20"/>
                  <w:szCs w:val="20"/>
                </w:rPr>
                <w:t>62</w:t>
              </w:r>
            </w:hyperlink>
          </w:p>
        </w:tc>
        <w:tc>
          <w:tcPr>
            <w:tcW w:w="7214" w:type="dxa"/>
          </w:tcPr>
          <w:p w:rsidR="002526F2" w:rsidRPr="00E52DE0" w:rsidRDefault="002526F2" w:rsidP="005C1BED">
            <w:pPr>
              <w:rPr>
                <w:sz w:val="20"/>
                <w:szCs w:val="20"/>
              </w:rPr>
            </w:pPr>
            <w:r w:rsidRPr="00E52DE0">
              <w:rPr>
                <w:sz w:val="20"/>
                <w:szCs w:val="20"/>
              </w:rPr>
              <w:t>Health Care and Social Assistance</w:t>
            </w:r>
          </w:p>
        </w:tc>
      </w:tr>
      <w:tr w:rsidR="002526F2" w:rsidRPr="00E52DE0" w:rsidTr="005C1BED">
        <w:tc>
          <w:tcPr>
            <w:tcW w:w="796" w:type="dxa"/>
          </w:tcPr>
          <w:p w:rsidR="002526F2" w:rsidRPr="00E52DE0" w:rsidRDefault="00B06D59">
            <w:pPr>
              <w:rPr>
                <w:sz w:val="20"/>
                <w:szCs w:val="20"/>
              </w:rPr>
            </w:pPr>
            <w:hyperlink r:id="rId24" w:tgtFrame="_blank" w:history="1">
              <w:r w:rsidR="002526F2" w:rsidRPr="00E52DE0">
                <w:rPr>
                  <w:rStyle w:val="Hyperlink"/>
                  <w:rFonts w:eastAsia="Times New Roman" w:cs="Times New Roman"/>
                  <w:color w:val="0000FF"/>
                  <w:sz w:val="20"/>
                  <w:szCs w:val="20"/>
                </w:rPr>
                <w:t>71</w:t>
              </w:r>
            </w:hyperlink>
          </w:p>
        </w:tc>
        <w:tc>
          <w:tcPr>
            <w:tcW w:w="7214" w:type="dxa"/>
          </w:tcPr>
          <w:p w:rsidR="002526F2" w:rsidRPr="00E52DE0" w:rsidRDefault="002526F2" w:rsidP="005C1BED">
            <w:pPr>
              <w:rPr>
                <w:sz w:val="20"/>
                <w:szCs w:val="20"/>
              </w:rPr>
            </w:pPr>
            <w:r w:rsidRPr="00E52DE0">
              <w:rPr>
                <w:sz w:val="20"/>
                <w:szCs w:val="20"/>
              </w:rPr>
              <w:t>Arts, Entertainment, and Recreation</w:t>
            </w:r>
          </w:p>
        </w:tc>
      </w:tr>
      <w:tr w:rsidR="002526F2" w:rsidRPr="00E52DE0" w:rsidTr="005C1BED">
        <w:tc>
          <w:tcPr>
            <w:tcW w:w="796" w:type="dxa"/>
          </w:tcPr>
          <w:p w:rsidR="002526F2" w:rsidRPr="00E52DE0" w:rsidRDefault="00B06D59">
            <w:pPr>
              <w:rPr>
                <w:sz w:val="20"/>
                <w:szCs w:val="20"/>
              </w:rPr>
            </w:pPr>
            <w:hyperlink r:id="rId25" w:tgtFrame="_blank" w:history="1">
              <w:r w:rsidR="002526F2" w:rsidRPr="00E52DE0">
                <w:rPr>
                  <w:rStyle w:val="Hyperlink"/>
                  <w:rFonts w:eastAsia="Times New Roman" w:cs="Times New Roman"/>
                  <w:color w:val="0000FF"/>
                  <w:sz w:val="20"/>
                  <w:szCs w:val="20"/>
                </w:rPr>
                <w:t>72</w:t>
              </w:r>
            </w:hyperlink>
          </w:p>
        </w:tc>
        <w:tc>
          <w:tcPr>
            <w:tcW w:w="7214" w:type="dxa"/>
          </w:tcPr>
          <w:p w:rsidR="002526F2" w:rsidRPr="00E52DE0" w:rsidRDefault="002526F2" w:rsidP="005C1BED">
            <w:pPr>
              <w:rPr>
                <w:sz w:val="20"/>
                <w:szCs w:val="20"/>
              </w:rPr>
            </w:pPr>
            <w:r w:rsidRPr="00E52DE0">
              <w:rPr>
                <w:sz w:val="20"/>
                <w:szCs w:val="20"/>
              </w:rPr>
              <w:t>Accommodation and Food Services</w:t>
            </w:r>
          </w:p>
        </w:tc>
      </w:tr>
      <w:tr w:rsidR="002526F2" w:rsidRPr="00E52DE0" w:rsidTr="005C1BED">
        <w:tc>
          <w:tcPr>
            <w:tcW w:w="796" w:type="dxa"/>
          </w:tcPr>
          <w:p w:rsidR="002526F2" w:rsidRPr="00E52DE0" w:rsidRDefault="00B06D59">
            <w:pPr>
              <w:rPr>
                <w:sz w:val="20"/>
                <w:szCs w:val="20"/>
              </w:rPr>
            </w:pPr>
            <w:hyperlink r:id="rId26" w:tgtFrame="_blank" w:history="1">
              <w:r w:rsidR="002526F2" w:rsidRPr="00E52DE0">
                <w:rPr>
                  <w:rStyle w:val="Hyperlink"/>
                  <w:rFonts w:eastAsia="Times New Roman" w:cs="Times New Roman"/>
                  <w:color w:val="0000FF"/>
                  <w:sz w:val="20"/>
                  <w:szCs w:val="20"/>
                </w:rPr>
                <w:t>81</w:t>
              </w:r>
            </w:hyperlink>
          </w:p>
        </w:tc>
        <w:tc>
          <w:tcPr>
            <w:tcW w:w="7214" w:type="dxa"/>
          </w:tcPr>
          <w:p w:rsidR="002526F2" w:rsidRPr="00E52DE0" w:rsidRDefault="002526F2" w:rsidP="005C1BED">
            <w:pPr>
              <w:rPr>
                <w:sz w:val="20"/>
                <w:szCs w:val="20"/>
              </w:rPr>
            </w:pPr>
            <w:r w:rsidRPr="00E52DE0">
              <w:rPr>
                <w:sz w:val="20"/>
                <w:szCs w:val="20"/>
              </w:rPr>
              <w:t>Other Services (except Public Administration)</w:t>
            </w:r>
          </w:p>
        </w:tc>
      </w:tr>
    </w:tbl>
    <w:p w:rsidR="005C1BED" w:rsidRPr="00E52DE0" w:rsidRDefault="005C1BED" w:rsidP="005C1BED">
      <w:pPr>
        <w:ind w:left="720" w:hanging="720"/>
        <w:rPr>
          <w:sz w:val="20"/>
          <w:szCs w:val="20"/>
        </w:rPr>
      </w:pPr>
      <w:r w:rsidRPr="00E52DE0">
        <w:rPr>
          <w:sz w:val="20"/>
          <w:szCs w:val="20"/>
        </w:rPr>
        <w:t>Notes:</w:t>
      </w:r>
      <w:r w:rsidRPr="00E52DE0">
        <w:rPr>
          <w:sz w:val="20"/>
          <w:szCs w:val="20"/>
        </w:rPr>
        <w:tab/>
        <w:t xml:space="preserve">Selected activities of governments are also </w:t>
      </w:r>
      <w:r w:rsidR="0030605D" w:rsidRPr="00E52DE0">
        <w:rPr>
          <w:sz w:val="20"/>
          <w:szCs w:val="20"/>
        </w:rPr>
        <w:t>in-scope,</w:t>
      </w:r>
      <w:r w:rsidRPr="00E52DE0">
        <w:rPr>
          <w:sz w:val="20"/>
          <w:szCs w:val="20"/>
        </w:rPr>
        <w:t xml:space="preserve"> such as hospitals, liquor stores, </w:t>
      </w:r>
      <w:r w:rsidR="007B2338" w:rsidRPr="00E52DE0">
        <w:rPr>
          <w:sz w:val="20"/>
          <w:szCs w:val="20"/>
        </w:rPr>
        <w:t xml:space="preserve">and </w:t>
      </w:r>
      <w:r w:rsidRPr="00E52DE0">
        <w:rPr>
          <w:sz w:val="20"/>
          <w:szCs w:val="20"/>
        </w:rPr>
        <w:t>university press publishers.</w:t>
      </w:r>
    </w:p>
    <w:p w:rsidR="005C1BED" w:rsidRPr="00E52DE0" w:rsidRDefault="005C1BED" w:rsidP="005C1BED">
      <w:pPr>
        <w:rPr>
          <w:b/>
        </w:rPr>
      </w:pPr>
      <w:r w:rsidRPr="00E52DE0">
        <w:rPr>
          <w:b/>
        </w:rPr>
        <w:t>Excluded Industries</w:t>
      </w:r>
    </w:p>
    <w:p w:rsidR="005C1BED" w:rsidRPr="00E52DE0" w:rsidRDefault="0098440B" w:rsidP="005C1BED">
      <w:r>
        <w:t>T</w:t>
      </w:r>
      <w:r w:rsidR="00800A81" w:rsidRPr="00E52DE0">
        <w:t xml:space="preserve">able </w:t>
      </w:r>
      <w:r>
        <w:t xml:space="preserve">2 </w:t>
      </w:r>
      <w:r w:rsidR="00800A81" w:rsidRPr="00E52DE0">
        <w:t xml:space="preserve">lists the industries that are </w:t>
      </w:r>
      <w:r w:rsidR="009A2CEA" w:rsidRPr="00E52DE0">
        <w:t>out-of-scope to</w:t>
      </w:r>
      <w:r w:rsidR="00800A81" w:rsidRPr="00E52DE0">
        <w:t xml:space="preserve"> t</w:t>
      </w:r>
      <w:r w:rsidR="005C1BED" w:rsidRPr="00E52DE0">
        <w:t>he 2012 Enterprise Statistics Program</w:t>
      </w:r>
      <w:r w:rsidR="00800A81" w:rsidRPr="00E52DE0">
        <w:t>.</w:t>
      </w:r>
    </w:p>
    <w:p w:rsidR="0030605D" w:rsidRPr="00E52DE0" w:rsidRDefault="0030605D" w:rsidP="0030605D">
      <w:pPr>
        <w:spacing w:after="0"/>
        <w:rPr>
          <w:b/>
          <w:i/>
        </w:rPr>
      </w:pPr>
      <w:r w:rsidRPr="00E52DE0">
        <w:rPr>
          <w:b/>
          <w:i/>
        </w:rPr>
        <w:t xml:space="preserve">Table 2: Industries </w:t>
      </w:r>
      <w:r w:rsidR="007922A7" w:rsidRPr="00E52DE0">
        <w:rPr>
          <w:b/>
          <w:i/>
        </w:rPr>
        <w:t>that</w:t>
      </w:r>
      <w:r w:rsidRPr="00E52DE0">
        <w:rPr>
          <w:b/>
          <w:i/>
        </w:rPr>
        <w:t xml:space="preserve"> are Out-of-Scope to the ESP</w:t>
      </w:r>
    </w:p>
    <w:tbl>
      <w:tblPr>
        <w:tblStyle w:val="TableGrid"/>
        <w:tblW w:w="0" w:type="auto"/>
        <w:tblInd w:w="108" w:type="dxa"/>
        <w:tblLook w:val="04A0" w:firstRow="1" w:lastRow="0" w:firstColumn="1" w:lastColumn="0" w:noHBand="0" w:noVBand="1"/>
      </w:tblPr>
      <w:tblGrid>
        <w:gridCol w:w="810"/>
        <w:gridCol w:w="7830"/>
      </w:tblGrid>
      <w:tr w:rsidR="005C1BED" w:rsidRPr="00E52DE0" w:rsidTr="005C1BED">
        <w:trPr>
          <w:tblHeader/>
        </w:trPr>
        <w:tc>
          <w:tcPr>
            <w:tcW w:w="810" w:type="dxa"/>
            <w:tcBorders>
              <w:bottom w:val="double" w:sz="4" w:space="0" w:color="auto"/>
            </w:tcBorders>
            <w:shd w:val="clear" w:color="auto" w:fill="D9D9D9" w:themeFill="background1" w:themeFillShade="D9"/>
          </w:tcPr>
          <w:p w:rsidR="005C1BED" w:rsidRPr="00E52DE0" w:rsidRDefault="005C1BED" w:rsidP="005C1BED">
            <w:pPr>
              <w:jc w:val="center"/>
              <w:rPr>
                <w:b/>
              </w:rPr>
            </w:pPr>
            <w:r w:rsidRPr="00E52DE0">
              <w:rPr>
                <w:b/>
              </w:rPr>
              <w:t>NAICS</w:t>
            </w:r>
          </w:p>
        </w:tc>
        <w:tc>
          <w:tcPr>
            <w:tcW w:w="7830" w:type="dxa"/>
            <w:tcBorders>
              <w:bottom w:val="double" w:sz="4" w:space="0" w:color="auto"/>
            </w:tcBorders>
            <w:shd w:val="clear" w:color="auto" w:fill="D9D9D9" w:themeFill="background1" w:themeFillShade="D9"/>
          </w:tcPr>
          <w:p w:rsidR="005C1BED" w:rsidRPr="00E52DE0" w:rsidRDefault="005C1BED" w:rsidP="005C1BED">
            <w:pPr>
              <w:jc w:val="center"/>
              <w:rPr>
                <w:b/>
              </w:rPr>
            </w:pPr>
            <w:r w:rsidRPr="00E52DE0">
              <w:rPr>
                <w:b/>
              </w:rPr>
              <w:t>Description of Excluded Industry</w:t>
            </w:r>
          </w:p>
        </w:tc>
      </w:tr>
      <w:tr w:rsidR="005C1BED" w:rsidRPr="00E52DE0" w:rsidTr="005C1BED">
        <w:tc>
          <w:tcPr>
            <w:tcW w:w="810" w:type="dxa"/>
            <w:tcBorders>
              <w:top w:val="double" w:sz="4" w:space="0" w:color="auto"/>
              <w:bottom w:val="single" w:sz="4" w:space="0" w:color="auto"/>
            </w:tcBorders>
          </w:tcPr>
          <w:p w:rsidR="005C1BED" w:rsidRPr="00E52DE0" w:rsidRDefault="005C1BED" w:rsidP="005C1BED">
            <w:pPr>
              <w:rPr>
                <w:sz w:val="20"/>
                <w:szCs w:val="20"/>
              </w:rPr>
            </w:pPr>
            <w:r w:rsidRPr="00E52DE0">
              <w:rPr>
                <w:sz w:val="20"/>
                <w:szCs w:val="20"/>
              </w:rPr>
              <w:t>11</w:t>
            </w:r>
          </w:p>
        </w:tc>
        <w:tc>
          <w:tcPr>
            <w:tcW w:w="7830" w:type="dxa"/>
            <w:tcBorders>
              <w:top w:val="double" w:sz="4" w:space="0" w:color="auto"/>
              <w:bottom w:val="single" w:sz="4" w:space="0" w:color="auto"/>
            </w:tcBorders>
          </w:tcPr>
          <w:p w:rsidR="005C1BED" w:rsidRPr="00E52DE0" w:rsidRDefault="005C1BED" w:rsidP="005C1BED">
            <w:pPr>
              <w:rPr>
                <w:sz w:val="20"/>
                <w:szCs w:val="20"/>
              </w:rPr>
            </w:pPr>
            <w:r w:rsidRPr="00E52DE0">
              <w:rPr>
                <w:sz w:val="20"/>
                <w:szCs w:val="20"/>
              </w:rPr>
              <w:t>Agriculture</w:t>
            </w:r>
          </w:p>
        </w:tc>
      </w:tr>
      <w:tr w:rsidR="005C1BED" w:rsidRPr="00E52DE0" w:rsidTr="005C1BED">
        <w:tc>
          <w:tcPr>
            <w:tcW w:w="810" w:type="dxa"/>
            <w:tcBorders>
              <w:top w:val="single" w:sz="4" w:space="0" w:color="auto"/>
            </w:tcBorders>
          </w:tcPr>
          <w:p w:rsidR="005C1BED" w:rsidRPr="00E52DE0" w:rsidRDefault="005C1BED" w:rsidP="005C1BED">
            <w:pPr>
              <w:rPr>
                <w:sz w:val="20"/>
                <w:szCs w:val="20"/>
              </w:rPr>
            </w:pPr>
            <w:r w:rsidRPr="00E52DE0">
              <w:rPr>
                <w:sz w:val="20"/>
                <w:szCs w:val="20"/>
              </w:rPr>
              <w:t>482</w:t>
            </w:r>
          </w:p>
        </w:tc>
        <w:tc>
          <w:tcPr>
            <w:tcW w:w="7830" w:type="dxa"/>
            <w:tcBorders>
              <w:top w:val="single" w:sz="4" w:space="0" w:color="auto"/>
            </w:tcBorders>
          </w:tcPr>
          <w:p w:rsidR="005C1BED" w:rsidRPr="00E52DE0" w:rsidRDefault="005C1BED" w:rsidP="005C1BED">
            <w:pPr>
              <w:rPr>
                <w:sz w:val="20"/>
                <w:szCs w:val="20"/>
              </w:rPr>
            </w:pPr>
            <w:r w:rsidRPr="00E52DE0">
              <w:rPr>
                <w:sz w:val="20"/>
                <w:szCs w:val="20"/>
              </w:rPr>
              <w:t>Rail Transportation</w:t>
            </w:r>
          </w:p>
        </w:tc>
      </w:tr>
      <w:tr w:rsidR="005C1BED" w:rsidRPr="00E52DE0" w:rsidTr="005C1BED">
        <w:tc>
          <w:tcPr>
            <w:tcW w:w="810" w:type="dxa"/>
          </w:tcPr>
          <w:p w:rsidR="005C1BED" w:rsidRPr="00E52DE0" w:rsidRDefault="005C1BED" w:rsidP="005C1BED">
            <w:pPr>
              <w:rPr>
                <w:sz w:val="20"/>
                <w:szCs w:val="20"/>
              </w:rPr>
            </w:pPr>
            <w:r w:rsidRPr="00E52DE0">
              <w:rPr>
                <w:sz w:val="20"/>
                <w:szCs w:val="20"/>
              </w:rPr>
              <w:t>491</w:t>
            </w:r>
          </w:p>
        </w:tc>
        <w:tc>
          <w:tcPr>
            <w:tcW w:w="7830" w:type="dxa"/>
          </w:tcPr>
          <w:p w:rsidR="005C1BED" w:rsidRPr="00E52DE0" w:rsidRDefault="005C1BED" w:rsidP="005C1BED">
            <w:pPr>
              <w:rPr>
                <w:sz w:val="20"/>
                <w:szCs w:val="20"/>
              </w:rPr>
            </w:pPr>
            <w:r w:rsidRPr="00E52DE0">
              <w:rPr>
                <w:sz w:val="20"/>
                <w:szCs w:val="20"/>
              </w:rPr>
              <w:t>Postal Service</w:t>
            </w:r>
          </w:p>
        </w:tc>
      </w:tr>
      <w:tr w:rsidR="005C1BED" w:rsidRPr="00E52DE0" w:rsidTr="005C1BED">
        <w:tc>
          <w:tcPr>
            <w:tcW w:w="810" w:type="dxa"/>
          </w:tcPr>
          <w:p w:rsidR="005C1BED" w:rsidRPr="00E52DE0" w:rsidRDefault="005C1BED" w:rsidP="005C1BED">
            <w:pPr>
              <w:rPr>
                <w:sz w:val="20"/>
                <w:szCs w:val="20"/>
              </w:rPr>
            </w:pPr>
            <w:r w:rsidRPr="00E52DE0">
              <w:rPr>
                <w:sz w:val="20"/>
                <w:szCs w:val="20"/>
              </w:rPr>
              <w:t>521</w:t>
            </w:r>
          </w:p>
        </w:tc>
        <w:tc>
          <w:tcPr>
            <w:tcW w:w="7830" w:type="dxa"/>
          </w:tcPr>
          <w:p w:rsidR="005C1BED" w:rsidRPr="00E52DE0" w:rsidRDefault="005C1BED" w:rsidP="0030605D">
            <w:pPr>
              <w:rPr>
                <w:sz w:val="20"/>
                <w:szCs w:val="20"/>
              </w:rPr>
            </w:pPr>
            <w:r w:rsidRPr="00E52DE0">
              <w:rPr>
                <w:color w:val="000000" w:themeColor="text1"/>
                <w:sz w:val="20"/>
                <w:szCs w:val="20"/>
              </w:rPr>
              <w:t>Mone</w:t>
            </w:r>
            <w:r w:rsidR="0030605D" w:rsidRPr="00E52DE0">
              <w:rPr>
                <w:color w:val="000000" w:themeColor="text1"/>
                <w:sz w:val="20"/>
                <w:szCs w:val="20"/>
              </w:rPr>
              <w:t>tary Authorities - Central Banks</w:t>
            </w:r>
            <w:r w:rsidR="00C63539" w:rsidRPr="00E52DE0">
              <w:rPr>
                <w:color w:val="000000" w:themeColor="text1"/>
                <w:sz w:val="20"/>
                <w:szCs w:val="20"/>
              </w:rPr>
              <w:t xml:space="preserve"> </w:t>
            </w:r>
            <w:r w:rsidR="00C63539" w:rsidRPr="00E52DE0">
              <w:rPr>
                <w:color w:val="000000" w:themeColor="text1"/>
                <w:sz w:val="20"/>
                <w:szCs w:val="20"/>
                <w:vertAlign w:val="superscript"/>
              </w:rPr>
              <w:t>(1)</w:t>
            </w:r>
          </w:p>
        </w:tc>
      </w:tr>
      <w:tr w:rsidR="005C1BED" w:rsidRPr="00E52DE0" w:rsidTr="005C1BED">
        <w:tc>
          <w:tcPr>
            <w:tcW w:w="810" w:type="dxa"/>
          </w:tcPr>
          <w:p w:rsidR="005C1BED" w:rsidRPr="00E52DE0" w:rsidRDefault="005C1BED" w:rsidP="005C1BED">
            <w:pPr>
              <w:rPr>
                <w:sz w:val="20"/>
                <w:szCs w:val="20"/>
              </w:rPr>
            </w:pPr>
            <w:r w:rsidRPr="00E52DE0">
              <w:rPr>
                <w:sz w:val="20"/>
                <w:szCs w:val="20"/>
              </w:rPr>
              <w:t>525</w:t>
            </w:r>
          </w:p>
        </w:tc>
        <w:tc>
          <w:tcPr>
            <w:tcW w:w="7830" w:type="dxa"/>
          </w:tcPr>
          <w:p w:rsidR="005C1BED" w:rsidRPr="00E52DE0" w:rsidRDefault="005C1BED" w:rsidP="005C1BED">
            <w:pPr>
              <w:rPr>
                <w:sz w:val="20"/>
                <w:szCs w:val="20"/>
              </w:rPr>
            </w:pPr>
            <w:r w:rsidRPr="00E52DE0">
              <w:rPr>
                <w:sz w:val="20"/>
                <w:szCs w:val="20"/>
              </w:rPr>
              <w:t>Funds, Trusts, and Other Financial Vehicles</w:t>
            </w:r>
          </w:p>
        </w:tc>
      </w:tr>
      <w:tr w:rsidR="00A32A4E" w:rsidRPr="00E52DE0" w:rsidTr="00A32A4E">
        <w:tc>
          <w:tcPr>
            <w:tcW w:w="810" w:type="dxa"/>
          </w:tcPr>
          <w:p w:rsidR="00A32A4E" w:rsidRPr="00E52DE0" w:rsidRDefault="00A32A4E" w:rsidP="005C1BED">
            <w:pPr>
              <w:rPr>
                <w:sz w:val="20"/>
                <w:szCs w:val="20"/>
              </w:rPr>
            </w:pPr>
            <w:r>
              <w:rPr>
                <w:sz w:val="20"/>
                <w:szCs w:val="20"/>
              </w:rPr>
              <w:t>55</w:t>
            </w:r>
          </w:p>
        </w:tc>
        <w:tc>
          <w:tcPr>
            <w:tcW w:w="7830" w:type="dxa"/>
            <w:shd w:val="clear" w:color="auto" w:fill="auto"/>
          </w:tcPr>
          <w:p w:rsidR="00A32A4E" w:rsidRPr="00E52DE0" w:rsidRDefault="00A32A4E" w:rsidP="005C1BED">
            <w:pPr>
              <w:rPr>
                <w:sz w:val="20"/>
                <w:szCs w:val="20"/>
              </w:rPr>
            </w:pPr>
            <w:r w:rsidRPr="00A32A4E">
              <w:rPr>
                <w:sz w:val="20"/>
                <w:szCs w:val="20"/>
              </w:rPr>
              <w:t>Management of Companies and Enterprises</w:t>
            </w:r>
          </w:p>
        </w:tc>
      </w:tr>
      <w:tr w:rsidR="005C1BED" w:rsidRPr="00E52DE0" w:rsidTr="005C1BED">
        <w:tc>
          <w:tcPr>
            <w:tcW w:w="810" w:type="dxa"/>
          </w:tcPr>
          <w:p w:rsidR="005C1BED" w:rsidRPr="00E52DE0" w:rsidRDefault="005C1BED" w:rsidP="005C1BED">
            <w:pPr>
              <w:rPr>
                <w:sz w:val="20"/>
                <w:szCs w:val="20"/>
              </w:rPr>
            </w:pPr>
            <w:r w:rsidRPr="00E52DE0">
              <w:rPr>
                <w:sz w:val="20"/>
                <w:szCs w:val="20"/>
              </w:rPr>
              <w:t>6111</w:t>
            </w:r>
          </w:p>
        </w:tc>
        <w:tc>
          <w:tcPr>
            <w:tcW w:w="7830" w:type="dxa"/>
          </w:tcPr>
          <w:p w:rsidR="005C1BED" w:rsidRPr="00E52DE0" w:rsidRDefault="005C1BED" w:rsidP="005C1BED">
            <w:pPr>
              <w:rPr>
                <w:sz w:val="20"/>
                <w:szCs w:val="20"/>
              </w:rPr>
            </w:pPr>
            <w:r w:rsidRPr="00E52DE0">
              <w:rPr>
                <w:sz w:val="20"/>
                <w:szCs w:val="20"/>
              </w:rPr>
              <w:t>Elementary and Secondary Schools</w:t>
            </w:r>
          </w:p>
        </w:tc>
      </w:tr>
      <w:tr w:rsidR="005C1BED" w:rsidRPr="00E52DE0" w:rsidTr="005C1BED">
        <w:tc>
          <w:tcPr>
            <w:tcW w:w="810" w:type="dxa"/>
          </w:tcPr>
          <w:p w:rsidR="005C1BED" w:rsidRPr="00E52DE0" w:rsidRDefault="005C1BED" w:rsidP="005C1BED">
            <w:pPr>
              <w:rPr>
                <w:sz w:val="20"/>
                <w:szCs w:val="20"/>
              </w:rPr>
            </w:pPr>
            <w:r w:rsidRPr="00E52DE0">
              <w:rPr>
                <w:sz w:val="20"/>
                <w:szCs w:val="20"/>
              </w:rPr>
              <w:t>6112</w:t>
            </w:r>
          </w:p>
        </w:tc>
        <w:tc>
          <w:tcPr>
            <w:tcW w:w="7830" w:type="dxa"/>
          </w:tcPr>
          <w:p w:rsidR="005C1BED" w:rsidRPr="00E52DE0" w:rsidRDefault="005C1BED" w:rsidP="005C1BED">
            <w:pPr>
              <w:rPr>
                <w:sz w:val="20"/>
                <w:szCs w:val="20"/>
              </w:rPr>
            </w:pPr>
            <w:r w:rsidRPr="00E52DE0">
              <w:rPr>
                <w:sz w:val="20"/>
                <w:szCs w:val="20"/>
              </w:rPr>
              <w:t>Junior Colleges</w:t>
            </w:r>
          </w:p>
        </w:tc>
      </w:tr>
      <w:tr w:rsidR="005C1BED" w:rsidRPr="00E52DE0" w:rsidTr="005C1BED">
        <w:tc>
          <w:tcPr>
            <w:tcW w:w="810" w:type="dxa"/>
          </w:tcPr>
          <w:p w:rsidR="005C1BED" w:rsidRPr="00E52DE0" w:rsidRDefault="005C1BED" w:rsidP="005C1BED">
            <w:pPr>
              <w:rPr>
                <w:sz w:val="20"/>
                <w:szCs w:val="20"/>
              </w:rPr>
            </w:pPr>
            <w:r w:rsidRPr="00E52DE0">
              <w:rPr>
                <w:sz w:val="20"/>
                <w:szCs w:val="20"/>
              </w:rPr>
              <w:t>6113</w:t>
            </w:r>
          </w:p>
        </w:tc>
        <w:tc>
          <w:tcPr>
            <w:tcW w:w="7830" w:type="dxa"/>
          </w:tcPr>
          <w:p w:rsidR="005C1BED" w:rsidRPr="00E52DE0" w:rsidRDefault="005C1BED" w:rsidP="005C1BED">
            <w:pPr>
              <w:rPr>
                <w:sz w:val="20"/>
                <w:szCs w:val="20"/>
              </w:rPr>
            </w:pPr>
            <w:r w:rsidRPr="00E52DE0">
              <w:rPr>
                <w:sz w:val="20"/>
                <w:szCs w:val="20"/>
              </w:rPr>
              <w:t>Colleges, Universities, and Professional Schools</w:t>
            </w:r>
          </w:p>
        </w:tc>
      </w:tr>
      <w:tr w:rsidR="005C1BED" w:rsidRPr="00E52DE0" w:rsidTr="005C1BED">
        <w:tc>
          <w:tcPr>
            <w:tcW w:w="810" w:type="dxa"/>
          </w:tcPr>
          <w:p w:rsidR="005C1BED" w:rsidRPr="00E52DE0" w:rsidRDefault="005C1BED" w:rsidP="005C1BED">
            <w:pPr>
              <w:rPr>
                <w:sz w:val="20"/>
                <w:szCs w:val="20"/>
              </w:rPr>
            </w:pPr>
            <w:r w:rsidRPr="00E52DE0">
              <w:rPr>
                <w:sz w:val="20"/>
                <w:szCs w:val="20"/>
              </w:rPr>
              <w:t>8131</w:t>
            </w:r>
          </w:p>
        </w:tc>
        <w:tc>
          <w:tcPr>
            <w:tcW w:w="7830" w:type="dxa"/>
          </w:tcPr>
          <w:p w:rsidR="005C1BED" w:rsidRPr="00E52DE0" w:rsidRDefault="005C1BED" w:rsidP="005C1BED">
            <w:pPr>
              <w:rPr>
                <w:sz w:val="20"/>
                <w:szCs w:val="20"/>
              </w:rPr>
            </w:pPr>
            <w:r w:rsidRPr="00E52DE0">
              <w:rPr>
                <w:sz w:val="20"/>
                <w:szCs w:val="20"/>
              </w:rPr>
              <w:t>Religious Organizations</w:t>
            </w:r>
          </w:p>
        </w:tc>
      </w:tr>
      <w:tr w:rsidR="005C1BED" w:rsidRPr="00E52DE0" w:rsidTr="005C1BED">
        <w:tc>
          <w:tcPr>
            <w:tcW w:w="810" w:type="dxa"/>
          </w:tcPr>
          <w:p w:rsidR="005C1BED" w:rsidRPr="00E52DE0" w:rsidRDefault="005C1BED" w:rsidP="005C1BED">
            <w:pPr>
              <w:rPr>
                <w:sz w:val="20"/>
                <w:szCs w:val="20"/>
              </w:rPr>
            </w:pPr>
            <w:r w:rsidRPr="00E52DE0">
              <w:rPr>
                <w:sz w:val="20"/>
                <w:szCs w:val="20"/>
              </w:rPr>
              <w:t>81393</w:t>
            </w:r>
          </w:p>
        </w:tc>
        <w:tc>
          <w:tcPr>
            <w:tcW w:w="7830" w:type="dxa"/>
          </w:tcPr>
          <w:p w:rsidR="005C1BED" w:rsidRPr="00E52DE0" w:rsidRDefault="005C1BED" w:rsidP="005C1BED">
            <w:pPr>
              <w:rPr>
                <w:sz w:val="20"/>
                <w:szCs w:val="20"/>
              </w:rPr>
            </w:pPr>
            <w:r w:rsidRPr="00E52DE0">
              <w:rPr>
                <w:sz w:val="20"/>
                <w:szCs w:val="20"/>
              </w:rPr>
              <w:t>Labor Unions and Similar Labor Organizations</w:t>
            </w:r>
          </w:p>
        </w:tc>
      </w:tr>
      <w:tr w:rsidR="005C1BED" w:rsidRPr="00E52DE0" w:rsidTr="005C1BED">
        <w:tc>
          <w:tcPr>
            <w:tcW w:w="810" w:type="dxa"/>
          </w:tcPr>
          <w:p w:rsidR="005C1BED" w:rsidRPr="00E52DE0" w:rsidRDefault="005C1BED" w:rsidP="005C1BED">
            <w:pPr>
              <w:rPr>
                <w:sz w:val="20"/>
                <w:szCs w:val="20"/>
              </w:rPr>
            </w:pPr>
            <w:r w:rsidRPr="00E52DE0">
              <w:rPr>
                <w:sz w:val="20"/>
                <w:szCs w:val="20"/>
              </w:rPr>
              <w:t>81394</w:t>
            </w:r>
          </w:p>
        </w:tc>
        <w:tc>
          <w:tcPr>
            <w:tcW w:w="7830" w:type="dxa"/>
          </w:tcPr>
          <w:p w:rsidR="005C1BED" w:rsidRPr="00E52DE0" w:rsidRDefault="005C1BED" w:rsidP="005C1BED">
            <w:pPr>
              <w:rPr>
                <w:sz w:val="20"/>
                <w:szCs w:val="20"/>
              </w:rPr>
            </w:pPr>
            <w:r w:rsidRPr="00E52DE0">
              <w:rPr>
                <w:sz w:val="20"/>
                <w:szCs w:val="20"/>
              </w:rPr>
              <w:t>Political Organizations</w:t>
            </w:r>
          </w:p>
        </w:tc>
      </w:tr>
      <w:tr w:rsidR="005C1BED" w:rsidRPr="00E52DE0" w:rsidTr="005C1BED">
        <w:tc>
          <w:tcPr>
            <w:tcW w:w="810" w:type="dxa"/>
          </w:tcPr>
          <w:p w:rsidR="005C1BED" w:rsidRPr="00E52DE0" w:rsidRDefault="005C1BED" w:rsidP="005C1BED">
            <w:pPr>
              <w:rPr>
                <w:sz w:val="20"/>
                <w:szCs w:val="20"/>
              </w:rPr>
            </w:pPr>
            <w:r w:rsidRPr="00E52DE0">
              <w:rPr>
                <w:sz w:val="20"/>
                <w:szCs w:val="20"/>
              </w:rPr>
              <w:t>81399</w:t>
            </w:r>
          </w:p>
        </w:tc>
        <w:tc>
          <w:tcPr>
            <w:tcW w:w="7830" w:type="dxa"/>
          </w:tcPr>
          <w:p w:rsidR="005C1BED" w:rsidRPr="00E52DE0" w:rsidRDefault="005C1BED" w:rsidP="005C1BED">
            <w:pPr>
              <w:rPr>
                <w:sz w:val="20"/>
                <w:szCs w:val="20"/>
              </w:rPr>
            </w:pPr>
            <w:r w:rsidRPr="00E52DE0">
              <w:rPr>
                <w:sz w:val="20"/>
                <w:szCs w:val="20"/>
              </w:rPr>
              <w:t>Other Similar Organizations (except Business, Professional, Labor, and Political Organizations)</w:t>
            </w:r>
          </w:p>
        </w:tc>
      </w:tr>
      <w:tr w:rsidR="005C1BED" w:rsidRPr="00E52DE0" w:rsidTr="005C1BED">
        <w:tc>
          <w:tcPr>
            <w:tcW w:w="810" w:type="dxa"/>
          </w:tcPr>
          <w:p w:rsidR="005C1BED" w:rsidRPr="00E52DE0" w:rsidRDefault="005C1BED" w:rsidP="005C1BED">
            <w:pPr>
              <w:rPr>
                <w:sz w:val="20"/>
                <w:szCs w:val="20"/>
              </w:rPr>
            </w:pPr>
            <w:r w:rsidRPr="00E52DE0">
              <w:rPr>
                <w:sz w:val="20"/>
                <w:szCs w:val="20"/>
              </w:rPr>
              <w:t>814</w:t>
            </w:r>
          </w:p>
        </w:tc>
        <w:tc>
          <w:tcPr>
            <w:tcW w:w="7830" w:type="dxa"/>
          </w:tcPr>
          <w:p w:rsidR="005C1BED" w:rsidRPr="00E52DE0" w:rsidRDefault="005C1BED" w:rsidP="005C1BED">
            <w:pPr>
              <w:rPr>
                <w:sz w:val="20"/>
                <w:szCs w:val="20"/>
              </w:rPr>
            </w:pPr>
            <w:r w:rsidRPr="00E52DE0">
              <w:rPr>
                <w:sz w:val="20"/>
                <w:szCs w:val="20"/>
              </w:rPr>
              <w:t>Private Households</w:t>
            </w:r>
          </w:p>
        </w:tc>
      </w:tr>
      <w:tr w:rsidR="005C1BED" w:rsidRPr="00E52DE0" w:rsidTr="005C1BED">
        <w:tc>
          <w:tcPr>
            <w:tcW w:w="810" w:type="dxa"/>
          </w:tcPr>
          <w:p w:rsidR="005C1BED" w:rsidRPr="00E52DE0" w:rsidRDefault="005C1BED" w:rsidP="005C1BED">
            <w:pPr>
              <w:rPr>
                <w:sz w:val="20"/>
                <w:szCs w:val="20"/>
              </w:rPr>
            </w:pPr>
            <w:r w:rsidRPr="00E52DE0">
              <w:rPr>
                <w:sz w:val="20"/>
                <w:szCs w:val="20"/>
              </w:rPr>
              <w:t>92</w:t>
            </w:r>
          </w:p>
        </w:tc>
        <w:tc>
          <w:tcPr>
            <w:tcW w:w="7830" w:type="dxa"/>
          </w:tcPr>
          <w:p w:rsidR="005C1BED" w:rsidRPr="00E52DE0" w:rsidRDefault="005C1BED" w:rsidP="005C1BED">
            <w:pPr>
              <w:rPr>
                <w:sz w:val="20"/>
                <w:szCs w:val="20"/>
              </w:rPr>
            </w:pPr>
            <w:r w:rsidRPr="00E52DE0">
              <w:rPr>
                <w:sz w:val="20"/>
                <w:szCs w:val="20"/>
              </w:rPr>
              <w:t>Public Administration</w:t>
            </w:r>
          </w:p>
        </w:tc>
      </w:tr>
    </w:tbl>
    <w:p w:rsidR="005C1BED" w:rsidRPr="00E52DE0" w:rsidRDefault="00352630" w:rsidP="005C1BED">
      <w:pPr>
        <w:spacing w:after="0"/>
        <w:rPr>
          <w:sz w:val="20"/>
          <w:szCs w:val="20"/>
        </w:rPr>
      </w:pPr>
      <w:r w:rsidRPr="00E52DE0">
        <w:rPr>
          <w:sz w:val="20"/>
          <w:szCs w:val="20"/>
        </w:rPr>
        <w:t xml:space="preserve">Notes: </w:t>
      </w:r>
      <w:r w:rsidR="00C63539" w:rsidRPr="00E52DE0">
        <w:rPr>
          <w:sz w:val="20"/>
          <w:szCs w:val="20"/>
        </w:rPr>
        <w:t xml:space="preserve">(1) </w:t>
      </w:r>
      <w:r w:rsidRPr="00E52DE0">
        <w:rPr>
          <w:sz w:val="20"/>
          <w:szCs w:val="20"/>
        </w:rPr>
        <w:t xml:space="preserve">This is the only industry included in the </w:t>
      </w:r>
      <w:r w:rsidR="00C63539" w:rsidRPr="00E52DE0">
        <w:rPr>
          <w:sz w:val="20"/>
          <w:szCs w:val="20"/>
        </w:rPr>
        <w:t xml:space="preserve">2012 </w:t>
      </w:r>
      <w:r w:rsidRPr="00E52DE0">
        <w:rPr>
          <w:sz w:val="20"/>
          <w:szCs w:val="20"/>
        </w:rPr>
        <w:t xml:space="preserve">Economic Census </w:t>
      </w:r>
      <w:r w:rsidR="00C63539" w:rsidRPr="00E52DE0">
        <w:rPr>
          <w:sz w:val="20"/>
          <w:szCs w:val="20"/>
        </w:rPr>
        <w:t>that is</w:t>
      </w:r>
      <w:r w:rsidRPr="00E52DE0">
        <w:rPr>
          <w:sz w:val="20"/>
          <w:szCs w:val="20"/>
        </w:rPr>
        <w:t xml:space="preserve"> not included in the </w:t>
      </w:r>
      <w:r w:rsidR="00C63539" w:rsidRPr="00E52DE0">
        <w:rPr>
          <w:sz w:val="20"/>
          <w:szCs w:val="20"/>
        </w:rPr>
        <w:t xml:space="preserve">2012 </w:t>
      </w:r>
      <w:r w:rsidRPr="00E52DE0">
        <w:rPr>
          <w:sz w:val="20"/>
          <w:szCs w:val="20"/>
        </w:rPr>
        <w:t>ESP.</w:t>
      </w:r>
    </w:p>
    <w:p w:rsidR="00C63539" w:rsidRPr="00E52DE0" w:rsidRDefault="00C63539" w:rsidP="00C63539">
      <w:pPr>
        <w:spacing w:after="0"/>
        <w:rPr>
          <w:b/>
        </w:rPr>
      </w:pPr>
    </w:p>
    <w:p w:rsidR="00E51F39" w:rsidRDefault="00E51F39">
      <w:pPr>
        <w:rPr>
          <w:b/>
        </w:rPr>
      </w:pPr>
      <w:r>
        <w:rPr>
          <w:b/>
        </w:rPr>
        <w:br w:type="page"/>
      </w:r>
    </w:p>
    <w:p w:rsidR="009A503A" w:rsidRPr="00E52DE0" w:rsidRDefault="009A503A" w:rsidP="009A503A">
      <w:pPr>
        <w:rPr>
          <w:b/>
        </w:rPr>
      </w:pPr>
      <w:r w:rsidRPr="00E52DE0">
        <w:rPr>
          <w:b/>
        </w:rPr>
        <w:lastRenderedPageBreak/>
        <w:t>Enterprise Classification</w:t>
      </w:r>
    </w:p>
    <w:p w:rsidR="006A5F30" w:rsidRPr="00E52DE0" w:rsidRDefault="002B2F60" w:rsidP="006A5F30">
      <w:r w:rsidRPr="00E52DE0">
        <w:t xml:space="preserve">An enterprise may have establishments in many different industries.  For the </w:t>
      </w:r>
      <w:r w:rsidRPr="006A5F30">
        <w:t>purpose of the 2012 ESP, an enterprise was classified into a single sector based on the sector with the largest share of the enterprise’s payroll.</w:t>
      </w:r>
      <w:r w:rsidR="006A5F30" w:rsidRPr="006A5F30">
        <w:t xml:space="preserve"> </w:t>
      </w:r>
      <w:r w:rsidRPr="006A5F30">
        <w:t>For example, an enterprise with $300 million in payroll from establishments in sector 52 and $250 million in payroll from establishments in sector 62 would be classified into sector 52.  For the ESP, this enterprise and all of its revenue, payroll</w:t>
      </w:r>
      <w:r w:rsidR="00C53604" w:rsidRPr="006A5F30">
        <w:t xml:space="preserve"> ($550 million in this example)</w:t>
      </w:r>
      <w:r w:rsidRPr="006A5F30">
        <w:t xml:space="preserve">, or any other data would all be tabulated in sector 52.  This enterprise would not contribute anything to sector 62.  </w:t>
      </w:r>
    </w:p>
    <w:p w:rsidR="00800A81" w:rsidRPr="00E52DE0" w:rsidRDefault="00800A81" w:rsidP="001B1053">
      <w:pPr>
        <w:rPr>
          <w:b/>
          <w:sz w:val="24"/>
          <w:szCs w:val="24"/>
        </w:rPr>
      </w:pPr>
      <w:r w:rsidRPr="00E52DE0">
        <w:rPr>
          <w:b/>
          <w:sz w:val="24"/>
          <w:szCs w:val="24"/>
        </w:rPr>
        <w:t>SAMPLE DESIGN</w:t>
      </w:r>
    </w:p>
    <w:p w:rsidR="00D564F7" w:rsidRPr="00E52DE0" w:rsidRDefault="00800A81" w:rsidP="001B1053">
      <w:r w:rsidRPr="00E52DE0">
        <w:t xml:space="preserve">The 2012 ESP sample </w:t>
      </w:r>
      <w:r w:rsidR="00441FC5" w:rsidRPr="00E52DE0">
        <w:t xml:space="preserve">is a representative sample of all </w:t>
      </w:r>
      <w:r w:rsidR="00A45201" w:rsidRPr="00E52DE0">
        <w:t xml:space="preserve">employer </w:t>
      </w:r>
      <w:r w:rsidR="00441FC5" w:rsidRPr="00E52DE0">
        <w:t xml:space="preserve">enterprises with operations in the U.S.  It </w:t>
      </w:r>
      <w:r w:rsidRPr="00E52DE0">
        <w:t>consists of two components: (1) All multi-establishment enterprises</w:t>
      </w:r>
      <w:r w:rsidR="00441FC5" w:rsidRPr="00E52DE0">
        <w:t>,</w:t>
      </w:r>
      <w:r w:rsidRPr="00E52DE0">
        <w:t xml:space="preserve"> and (2) a sample of single-establishment enterprises</w:t>
      </w:r>
      <w:r w:rsidR="00AF63B5" w:rsidRPr="00E52DE0">
        <w:t>.</w:t>
      </w:r>
      <w:r w:rsidRPr="00E52DE0">
        <w:t xml:space="preserve">  </w:t>
      </w:r>
    </w:p>
    <w:p w:rsidR="00D564F7" w:rsidRPr="00E52DE0" w:rsidRDefault="00D564F7" w:rsidP="001B1053">
      <w:pPr>
        <w:spacing w:after="0"/>
      </w:pPr>
      <w:r w:rsidRPr="00E52DE0">
        <w:t>Multi-establishment enterprises must have at least one establishment that meets all of the following conditions</w:t>
      </w:r>
      <w:r w:rsidR="009D0969" w:rsidRPr="00E52DE0">
        <w:t xml:space="preserve"> to be included in the ESP</w:t>
      </w:r>
      <w:r w:rsidRPr="00E52DE0">
        <w:t>:</w:t>
      </w:r>
    </w:p>
    <w:p w:rsidR="00D564F7" w:rsidRPr="00E52DE0" w:rsidRDefault="00D564F7" w:rsidP="001B1053">
      <w:pPr>
        <w:pStyle w:val="ListParagraph"/>
        <w:numPr>
          <w:ilvl w:val="0"/>
          <w:numId w:val="12"/>
        </w:numPr>
        <w:spacing w:after="0"/>
        <w:ind w:left="360"/>
      </w:pPr>
      <w:r w:rsidRPr="00E52DE0">
        <w:t>Be classified in an in-scope industry</w:t>
      </w:r>
      <w:r w:rsidR="009D0969" w:rsidRPr="00E52DE0">
        <w:t>,</w:t>
      </w:r>
    </w:p>
    <w:p w:rsidR="00D564F7" w:rsidRPr="00E52DE0" w:rsidRDefault="00D564F7" w:rsidP="001B1053">
      <w:pPr>
        <w:pStyle w:val="ListParagraph"/>
        <w:numPr>
          <w:ilvl w:val="0"/>
          <w:numId w:val="12"/>
        </w:numPr>
        <w:spacing w:after="0"/>
        <w:ind w:left="360"/>
      </w:pPr>
      <w:r w:rsidRPr="00E52DE0">
        <w:t xml:space="preserve">Not be classified as an auxiliary establishment or </w:t>
      </w:r>
      <w:r w:rsidR="009D0969" w:rsidRPr="00E52DE0">
        <w:t>in NAICS sector 55,</w:t>
      </w:r>
    </w:p>
    <w:p w:rsidR="00D564F7" w:rsidRPr="00E52DE0" w:rsidRDefault="00D564F7" w:rsidP="001B1053">
      <w:pPr>
        <w:pStyle w:val="ListParagraph"/>
        <w:numPr>
          <w:ilvl w:val="0"/>
          <w:numId w:val="12"/>
        </w:numPr>
        <w:spacing w:after="0"/>
        <w:ind w:left="360"/>
      </w:pPr>
      <w:r w:rsidRPr="00E52DE0">
        <w:t>Not be classified as a manufacturer’s sales branch or office</w:t>
      </w:r>
      <w:r w:rsidR="009D0969" w:rsidRPr="00E52DE0">
        <w:t>, and</w:t>
      </w:r>
    </w:p>
    <w:p w:rsidR="009D0969" w:rsidRPr="00E52DE0" w:rsidRDefault="009D0969" w:rsidP="001B1053">
      <w:pPr>
        <w:pStyle w:val="ListParagraph"/>
        <w:numPr>
          <w:ilvl w:val="0"/>
          <w:numId w:val="12"/>
        </w:numPr>
        <w:ind w:left="360"/>
      </w:pPr>
      <w:r w:rsidRPr="00E52DE0">
        <w:t>Is located in the 50 states and the District of Columbia</w:t>
      </w:r>
    </w:p>
    <w:p w:rsidR="009D0969" w:rsidRPr="00E52DE0" w:rsidRDefault="009D0969" w:rsidP="001B1053">
      <w:pPr>
        <w:pStyle w:val="ListParagraph"/>
        <w:spacing w:after="0"/>
        <w:ind w:left="360"/>
      </w:pPr>
    </w:p>
    <w:p w:rsidR="00D564F7" w:rsidRPr="00E52DE0" w:rsidRDefault="00D564F7" w:rsidP="009D0969">
      <w:pPr>
        <w:spacing w:after="0"/>
      </w:pPr>
      <w:r w:rsidRPr="00E52DE0">
        <w:t xml:space="preserve">Single-establishment enterprises must meet all of the following conditions </w:t>
      </w:r>
      <w:r w:rsidR="009D0969" w:rsidRPr="00E52DE0">
        <w:t>to be included in the ESP sampling frame</w:t>
      </w:r>
      <w:r w:rsidRPr="00E52DE0">
        <w:t xml:space="preserve">: </w:t>
      </w:r>
    </w:p>
    <w:p w:rsidR="00D564F7" w:rsidRPr="00E52DE0" w:rsidRDefault="009D0969" w:rsidP="009D0969">
      <w:pPr>
        <w:pStyle w:val="ListParagraph"/>
        <w:numPr>
          <w:ilvl w:val="0"/>
          <w:numId w:val="12"/>
        </w:numPr>
        <w:ind w:left="360"/>
      </w:pPr>
      <w:r w:rsidRPr="00E52DE0">
        <w:t>B</w:t>
      </w:r>
      <w:r w:rsidR="00D564F7" w:rsidRPr="00E52DE0">
        <w:t xml:space="preserve">e </w:t>
      </w:r>
      <w:r w:rsidRPr="00E52DE0">
        <w:t xml:space="preserve">classified in an </w:t>
      </w:r>
      <w:r w:rsidR="00D564F7" w:rsidRPr="00E52DE0">
        <w:t xml:space="preserve">in-scope </w:t>
      </w:r>
      <w:r w:rsidRPr="00E52DE0">
        <w:t>industry,</w:t>
      </w:r>
    </w:p>
    <w:p w:rsidR="00D564F7" w:rsidRPr="00E52DE0" w:rsidRDefault="009D0969" w:rsidP="009D0969">
      <w:pPr>
        <w:pStyle w:val="ListParagraph"/>
        <w:numPr>
          <w:ilvl w:val="0"/>
          <w:numId w:val="12"/>
        </w:numPr>
        <w:ind w:left="360"/>
      </w:pPr>
      <w:r w:rsidRPr="00E52DE0">
        <w:t>N</w:t>
      </w:r>
      <w:r w:rsidR="00D564F7" w:rsidRPr="00E52DE0">
        <w:t>ot be classified as an auxiliary establishment</w:t>
      </w:r>
      <w:r w:rsidRPr="00E52DE0">
        <w:t xml:space="preserve"> or in NAICS sector 55,</w:t>
      </w:r>
    </w:p>
    <w:p w:rsidR="009D0969" w:rsidRPr="00E52DE0" w:rsidRDefault="009D0969" w:rsidP="009D0969">
      <w:pPr>
        <w:pStyle w:val="ListParagraph"/>
        <w:numPr>
          <w:ilvl w:val="0"/>
          <w:numId w:val="12"/>
        </w:numPr>
        <w:ind w:left="360"/>
      </w:pPr>
      <w:r w:rsidRPr="00E52DE0">
        <w:t>Is located in the 50 states and the District of Columbia, and</w:t>
      </w:r>
    </w:p>
    <w:p w:rsidR="00D564F7" w:rsidRPr="00E52DE0" w:rsidRDefault="009D0969" w:rsidP="009D0969">
      <w:pPr>
        <w:pStyle w:val="ListParagraph"/>
        <w:numPr>
          <w:ilvl w:val="0"/>
          <w:numId w:val="12"/>
        </w:numPr>
        <w:ind w:left="360"/>
      </w:pPr>
      <w:r w:rsidRPr="00E52DE0">
        <w:t>Ha</w:t>
      </w:r>
      <w:r w:rsidR="004714FC" w:rsidRPr="00E52DE0">
        <w:t>ve</w:t>
      </w:r>
      <w:r w:rsidRPr="00E52DE0">
        <w:t xml:space="preserve"> 2012 payroll greater than zero</w:t>
      </w:r>
    </w:p>
    <w:p w:rsidR="00800A81" w:rsidRPr="00E52DE0" w:rsidRDefault="00800A81" w:rsidP="001B1053">
      <w:r w:rsidRPr="00E52DE0">
        <w:t>For single-establishment</w:t>
      </w:r>
      <w:r w:rsidR="00B55275" w:rsidRPr="00E52DE0">
        <w:t>s</w:t>
      </w:r>
      <w:r w:rsidRPr="00E52DE0">
        <w:t xml:space="preserve">, the ESP sample </w:t>
      </w:r>
      <w:r w:rsidR="00C77A1A" w:rsidRPr="00E52DE0">
        <w:t>is</w:t>
      </w:r>
      <w:r w:rsidRPr="00E52DE0">
        <w:t xml:space="preserve"> a subsample of the single-establishment enterprises selected into the 2012 Economic Census sample.  </w:t>
      </w:r>
      <w:r w:rsidR="00C77A1A" w:rsidRPr="00E52DE0">
        <w:t xml:space="preserve">The ESP sample was stratified by </w:t>
      </w:r>
      <w:r w:rsidR="00B55275" w:rsidRPr="00E52DE0">
        <w:t xml:space="preserve">the </w:t>
      </w:r>
      <w:hyperlink r:id="rId27" w:history="1">
        <w:r w:rsidR="00B55275" w:rsidRPr="00E52DE0">
          <w:rPr>
            <w:rStyle w:val="Hyperlink"/>
          </w:rPr>
          <w:t>Enterprise Classification System Industry</w:t>
        </w:r>
      </w:hyperlink>
      <w:r w:rsidR="009F5A71" w:rsidRPr="00E52DE0">
        <w:t xml:space="preserve">.  </w:t>
      </w:r>
      <w:r w:rsidR="0098440B">
        <w:t>Table 3</w:t>
      </w:r>
      <w:r w:rsidR="00564D32" w:rsidRPr="00E52DE0">
        <w:t xml:space="preserve"> </w:t>
      </w:r>
      <w:r w:rsidRPr="00E52DE0">
        <w:t>summarizes the sample sizes for these two components by sector.</w:t>
      </w:r>
      <w:r w:rsidR="00C77A1A" w:rsidRPr="00E52DE0">
        <w:t xml:space="preserve">  </w:t>
      </w:r>
      <w:r w:rsidR="00F1197A" w:rsidRPr="00E52DE0">
        <w:t>(Note: Subsequent to sample selection, the E</w:t>
      </w:r>
      <w:r w:rsidR="00A45201" w:rsidRPr="00E52DE0">
        <w:t>SP</w:t>
      </w:r>
      <w:r w:rsidR="00F1197A" w:rsidRPr="00E52DE0">
        <w:t xml:space="preserve"> program discontinued using the Enterprise Classification System that was used for the 2011 </w:t>
      </w:r>
      <w:r w:rsidR="00693AA4" w:rsidRPr="00E52DE0">
        <w:t xml:space="preserve">and earlier </w:t>
      </w:r>
      <w:r w:rsidR="00A45201" w:rsidRPr="00E52DE0">
        <w:t>data products</w:t>
      </w:r>
      <w:r w:rsidR="00F1197A" w:rsidRPr="00E52DE0">
        <w:t xml:space="preserve">.  Instead, the </w:t>
      </w:r>
      <w:r w:rsidR="001B2B2F" w:rsidRPr="00E52DE0">
        <w:t xml:space="preserve">standard NAICS classification system was used.  </w:t>
      </w:r>
      <w:r w:rsidR="00BF10F7" w:rsidRPr="00E52DE0">
        <w:t>For enterprise statistics, t</w:t>
      </w:r>
      <w:r w:rsidR="001B2B2F" w:rsidRPr="00E52DE0">
        <w:t xml:space="preserve">he </w:t>
      </w:r>
      <w:r w:rsidR="00F1197A" w:rsidRPr="00E52DE0">
        <w:t>m</w:t>
      </w:r>
      <w:r w:rsidR="001B2B2F" w:rsidRPr="00E52DE0">
        <w:t>ost detailed industry estimates provided are at</w:t>
      </w:r>
      <w:r w:rsidR="00F1197A" w:rsidRPr="00E52DE0">
        <w:t xml:space="preserve"> </w:t>
      </w:r>
      <w:r w:rsidR="001B2B2F" w:rsidRPr="00E52DE0">
        <w:t>the 4-digit NAICS level</w:t>
      </w:r>
      <w:r w:rsidR="00F1197A" w:rsidRPr="00E52DE0">
        <w:t>.</w:t>
      </w:r>
      <w:r w:rsidR="00BF10F7" w:rsidRPr="00E52DE0">
        <w:t>)</w:t>
      </w:r>
    </w:p>
    <w:p w:rsidR="00F75015" w:rsidRDefault="00F75015">
      <w:pPr>
        <w:rPr>
          <w:b/>
          <w:i/>
        </w:rPr>
      </w:pPr>
      <w:r>
        <w:rPr>
          <w:b/>
          <w:i/>
        </w:rPr>
        <w:br w:type="page"/>
      </w:r>
    </w:p>
    <w:p w:rsidR="00054865" w:rsidRPr="00E52DE0" w:rsidRDefault="00054865" w:rsidP="00054865">
      <w:pPr>
        <w:spacing w:after="0"/>
        <w:rPr>
          <w:b/>
          <w:i/>
        </w:rPr>
      </w:pPr>
      <w:r w:rsidRPr="00E52DE0">
        <w:rPr>
          <w:b/>
          <w:i/>
        </w:rPr>
        <w:lastRenderedPageBreak/>
        <w:t>Table 3: Summary of 2012 ESP Sampling Results</w:t>
      </w:r>
    </w:p>
    <w:tbl>
      <w:tblPr>
        <w:tblStyle w:val="TableGrid"/>
        <w:tblW w:w="0" w:type="auto"/>
        <w:tblInd w:w="108" w:type="dxa"/>
        <w:tblLook w:val="04A0" w:firstRow="1" w:lastRow="0" w:firstColumn="1" w:lastColumn="0" w:noHBand="0" w:noVBand="1"/>
      </w:tblPr>
      <w:tblGrid>
        <w:gridCol w:w="796"/>
        <w:gridCol w:w="2534"/>
        <w:gridCol w:w="1710"/>
        <w:gridCol w:w="1710"/>
        <w:gridCol w:w="1710"/>
      </w:tblGrid>
      <w:tr w:rsidR="009119F9" w:rsidRPr="00E52DE0" w:rsidTr="009119F9">
        <w:tc>
          <w:tcPr>
            <w:tcW w:w="796" w:type="dxa"/>
            <w:vMerge w:val="restart"/>
            <w:shd w:val="clear" w:color="auto" w:fill="D9D9D9" w:themeFill="background1" w:themeFillShade="D9"/>
            <w:vAlign w:val="center"/>
          </w:tcPr>
          <w:p w:rsidR="009119F9" w:rsidRPr="00E52DE0" w:rsidRDefault="009119F9" w:rsidP="00800A81">
            <w:pPr>
              <w:jc w:val="center"/>
              <w:rPr>
                <w:b/>
              </w:rPr>
            </w:pPr>
            <w:r w:rsidRPr="00E52DE0">
              <w:rPr>
                <w:b/>
              </w:rPr>
              <w:t>Sector</w:t>
            </w:r>
          </w:p>
        </w:tc>
        <w:tc>
          <w:tcPr>
            <w:tcW w:w="2534" w:type="dxa"/>
            <w:vMerge w:val="restart"/>
            <w:shd w:val="clear" w:color="auto" w:fill="D9D9D9" w:themeFill="background1" w:themeFillShade="D9"/>
            <w:vAlign w:val="center"/>
          </w:tcPr>
          <w:p w:rsidR="009119F9" w:rsidRPr="00E52DE0" w:rsidRDefault="009119F9" w:rsidP="00800A81">
            <w:pPr>
              <w:jc w:val="center"/>
              <w:rPr>
                <w:b/>
              </w:rPr>
            </w:pPr>
            <w:r w:rsidRPr="00E52DE0">
              <w:rPr>
                <w:b/>
              </w:rPr>
              <w:t>Multi-Establishment Enterprise Frame &amp; Sample Size</w:t>
            </w:r>
          </w:p>
        </w:tc>
        <w:tc>
          <w:tcPr>
            <w:tcW w:w="3420" w:type="dxa"/>
            <w:gridSpan w:val="2"/>
            <w:tcBorders>
              <w:bottom w:val="single" w:sz="4" w:space="0" w:color="auto"/>
            </w:tcBorders>
            <w:shd w:val="clear" w:color="auto" w:fill="D9D9D9" w:themeFill="background1" w:themeFillShade="D9"/>
          </w:tcPr>
          <w:p w:rsidR="009119F9" w:rsidRPr="00E52DE0" w:rsidRDefault="009119F9" w:rsidP="00800A81">
            <w:pPr>
              <w:jc w:val="center"/>
              <w:rPr>
                <w:b/>
              </w:rPr>
            </w:pPr>
            <w:r w:rsidRPr="00E52DE0">
              <w:rPr>
                <w:b/>
              </w:rPr>
              <w:t>Single-establishment Enterprises</w:t>
            </w:r>
          </w:p>
        </w:tc>
        <w:tc>
          <w:tcPr>
            <w:tcW w:w="1710" w:type="dxa"/>
            <w:vMerge w:val="restart"/>
            <w:shd w:val="clear" w:color="auto" w:fill="D9D9D9" w:themeFill="background1" w:themeFillShade="D9"/>
            <w:vAlign w:val="center"/>
          </w:tcPr>
          <w:p w:rsidR="009119F9" w:rsidRPr="00E52DE0" w:rsidRDefault="009119F9" w:rsidP="009119F9">
            <w:pPr>
              <w:jc w:val="center"/>
              <w:rPr>
                <w:b/>
              </w:rPr>
            </w:pPr>
            <w:r w:rsidRPr="00E52DE0">
              <w:rPr>
                <w:b/>
              </w:rPr>
              <w:t>Total Sample Size</w:t>
            </w:r>
          </w:p>
        </w:tc>
      </w:tr>
      <w:tr w:rsidR="009119F9" w:rsidRPr="00E52DE0" w:rsidTr="009119F9">
        <w:tc>
          <w:tcPr>
            <w:tcW w:w="796" w:type="dxa"/>
            <w:vMerge/>
            <w:tcBorders>
              <w:bottom w:val="double" w:sz="4" w:space="0" w:color="auto"/>
            </w:tcBorders>
            <w:shd w:val="clear" w:color="auto" w:fill="D9D9D9" w:themeFill="background1" w:themeFillShade="D9"/>
          </w:tcPr>
          <w:p w:rsidR="009119F9" w:rsidRPr="00E52DE0" w:rsidRDefault="009119F9" w:rsidP="00800A81">
            <w:pPr>
              <w:jc w:val="center"/>
              <w:rPr>
                <w:b/>
              </w:rPr>
            </w:pPr>
          </w:p>
        </w:tc>
        <w:tc>
          <w:tcPr>
            <w:tcW w:w="2534" w:type="dxa"/>
            <w:vMerge/>
            <w:tcBorders>
              <w:bottom w:val="double" w:sz="4" w:space="0" w:color="auto"/>
            </w:tcBorders>
            <w:shd w:val="clear" w:color="auto" w:fill="D9D9D9" w:themeFill="background1" w:themeFillShade="D9"/>
          </w:tcPr>
          <w:p w:rsidR="009119F9" w:rsidRPr="00E52DE0" w:rsidRDefault="009119F9" w:rsidP="00800A81">
            <w:pPr>
              <w:jc w:val="center"/>
              <w:rPr>
                <w:b/>
              </w:rPr>
            </w:pPr>
          </w:p>
        </w:tc>
        <w:tc>
          <w:tcPr>
            <w:tcW w:w="1710" w:type="dxa"/>
            <w:tcBorders>
              <w:top w:val="single" w:sz="4" w:space="0" w:color="auto"/>
              <w:bottom w:val="double" w:sz="4" w:space="0" w:color="auto"/>
            </w:tcBorders>
            <w:shd w:val="clear" w:color="auto" w:fill="D9D9D9" w:themeFill="background1" w:themeFillShade="D9"/>
          </w:tcPr>
          <w:p w:rsidR="009119F9" w:rsidRPr="00E52DE0" w:rsidRDefault="009119F9" w:rsidP="00800A81">
            <w:pPr>
              <w:jc w:val="center"/>
              <w:rPr>
                <w:b/>
              </w:rPr>
            </w:pPr>
            <w:r w:rsidRPr="00E52DE0">
              <w:rPr>
                <w:b/>
              </w:rPr>
              <w:t>Frame</w:t>
            </w:r>
          </w:p>
        </w:tc>
        <w:tc>
          <w:tcPr>
            <w:tcW w:w="1710" w:type="dxa"/>
            <w:tcBorders>
              <w:top w:val="single" w:sz="4" w:space="0" w:color="auto"/>
              <w:bottom w:val="double" w:sz="4" w:space="0" w:color="auto"/>
            </w:tcBorders>
            <w:shd w:val="clear" w:color="auto" w:fill="D9D9D9" w:themeFill="background1" w:themeFillShade="D9"/>
          </w:tcPr>
          <w:p w:rsidR="009119F9" w:rsidRPr="00E52DE0" w:rsidRDefault="009119F9" w:rsidP="00800A81">
            <w:pPr>
              <w:jc w:val="center"/>
              <w:rPr>
                <w:b/>
              </w:rPr>
            </w:pPr>
            <w:r w:rsidRPr="00E52DE0">
              <w:rPr>
                <w:b/>
              </w:rPr>
              <w:t>Sample Size</w:t>
            </w:r>
          </w:p>
        </w:tc>
        <w:tc>
          <w:tcPr>
            <w:tcW w:w="1710" w:type="dxa"/>
            <w:vMerge/>
            <w:tcBorders>
              <w:bottom w:val="double" w:sz="4" w:space="0" w:color="auto"/>
            </w:tcBorders>
            <w:shd w:val="clear" w:color="auto" w:fill="D9D9D9" w:themeFill="background1" w:themeFillShade="D9"/>
          </w:tcPr>
          <w:p w:rsidR="009119F9" w:rsidRPr="00E52DE0" w:rsidRDefault="009119F9" w:rsidP="00800A81">
            <w:pPr>
              <w:jc w:val="center"/>
              <w:rPr>
                <w:b/>
              </w:rPr>
            </w:pPr>
          </w:p>
        </w:tc>
      </w:tr>
      <w:tr w:rsidR="009119F9" w:rsidRPr="00E52DE0" w:rsidTr="009119F9">
        <w:tc>
          <w:tcPr>
            <w:tcW w:w="796" w:type="dxa"/>
            <w:tcBorders>
              <w:top w:val="double" w:sz="4" w:space="0" w:color="auto"/>
            </w:tcBorders>
          </w:tcPr>
          <w:p w:rsidR="009119F9" w:rsidRPr="00E52DE0" w:rsidRDefault="009119F9" w:rsidP="00800A81">
            <w:pPr>
              <w:rPr>
                <w:sz w:val="20"/>
                <w:szCs w:val="20"/>
              </w:rPr>
            </w:pPr>
            <w:r w:rsidRPr="00E52DE0">
              <w:rPr>
                <w:sz w:val="20"/>
                <w:szCs w:val="20"/>
              </w:rPr>
              <w:t>21</w:t>
            </w:r>
          </w:p>
        </w:tc>
        <w:tc>
          <w:tcPr>
            <w:tcW w:w="2534" w:type="dxa"/>
            <w:tcBorders>
              <w:top w:val="double" w:sz="4" w:space="0" w:color="auto"/>
            </w:tcBorders>
            <w:shd w:val="clear" w:color="auto" w:fill="auto"/>
          </w:tcPr>
          <w:p w:rsidR="009119F9" w:rsidRPr="00E52DE0" w:rsidRDefault="009119F9" w:rsidP="00800A81">
            <w:pPr>
              <w:jc w:val="right"/>
              <w:rPr>
                <w:sz w:val="20"/>
                <w:szCs w:val="20"/>
              </w:rPr>
            </w:pPr>
            <w:r w:rsidRPr="00E52DE0">
              <w:rPr>
                <w:sz w:val="20"/>
                <w:szCs w:val="20"/>
              </w:rPr>
              <w:t>877</w:t>
            </w:r>
          </w:p>
        </w:tc>
        <w:tc>
          <w:tcPr>
            <w:tcW w:w="1710" w:type="dxa"/>
            <w:tcBorders>
              <w:top w:val="double" w:sz="4" w:space="0" w:color="auto"/>
            </w:tcBorders>
          </w:tcPr>
          <w:p w:rsidR="009119F9" w:rsidRPr="00E52DE0" w:rsidRDefault="009119F9" w:rsidP="00800A81">
            <w:pPr>
              <w:jc w:val="right"/>
              <w:rPr>
                <w:sz w:val="20"/>
                <w:szCs w:val="20"/>
              </w:rPr>
            </w:pPr>
            <w:r w:rsidRPr="00E52DE0">
              <w:rPr>
                <w:sz w:val="20"/>
                <w:szCs w:val="20"/>
              </w:rPr>
              <w:t>18,991</w:t>
            </w:r>
          </w:p>
        </w:tc>
        <w:tc>
          <w:tcPr>
            <w:tcW w:w="1710" w:type="dxa"/>
            <w:tcBorders>
              <w:top w:val="double" w:sz="4" w:space="0" w:color="auto"/>
            </w:tcBorders>
          </w:tcPr>
          <w:p w:rsidR="009119F9" w:rsidRPr="00E52DE0" w:rsidRDefault="009119F9" w:rsidP="00800A81">
            <w:pPr>
              <w:jc w:val="right"/>
              <w:rPr>
                <w:sz w:val="20"/>
                <w:szCs w:val="20"/>
              </w:rPr>
            </w:pPr>
            <w:r w:rsidRPr="00E52DE0">
              <w:rPr>
                <w:sz w:val="20"/>
                <w:szCs w:val="20"/>
              </w:rPr>
              <w:t>557</w:t>
            </w:r>
          </w:p>
        </w:tc>
        <w:tc>
          <w:tcPr>
            <w:tcW w:w="1710" w:type="dxa"/>
            <w:tcBorders>
              <w:top w:val="double" w:sz="4" w:space="0" w:color="auto"/>
            </w:tcBorders>
            <w:vAlign w:val="bottom"/>
          </w:tcPr>
          <w:p w:rsidR="009119F9" w:rsidRPr="00E52DE0" w:rsidRDefault="009119F9">
            <w:pPr>
              <w:jc w:val="right"/>
              <w:rPr>
                <w:rFonts w:ascii="Calibri" w:hAnsi="Calibri"/>
                <w:color w:val="000000"/>
              </w:rPr>
            </w:pPr>
            <w:r w:rsidRPr="00E52DE0">
              <w:rPr>
                <w:rFonts w:ascii="Calibri" w:hAnsi="Calibri"/>
                <w:color w:val="000000"/>
              </w:rPr>
              <w:t>1,434</w:t>
            </w:r>
          </w:p>
        </w:tc>
      </w:tr>
      <w:tr w:rsidR="009119F9" w:rsidRPr="00E52DE0" w:rsidTr="009119F9">
        <w:tc>
          <w:tcPr>
            <w:tcW w:w="796" w:type="dxa"/>
          </w:tcPr>
          <w:p w:rsidR="009119F9" w:rsidRPr="00E52DE0" w:rsidRDefault="009119F9" w:rsidP="00800A81">
            <w:pPr>
              <w:rPr>
                <w:sz w:val="20"/>
                <w:szCs w:val="20"/>
              </w:rPr>
            </w:pPr>
            <w:r w:rsidRPr="00E52DE0">
              <w:rPr>
                <w:sz w:val="20"/>
                <w:szCs w:val="20"/>
              </w:rPr>
              <w:t>22</w:t>
            </w:r>
          </w:p>
        </w:tc>
        <w:tc>
          <w:tcPr>
            <w:tcW w:w="2534" w:type="dxa"/>
            <w:shd w:val="clear" w:color="auto" w:fill="auto"/>
          </w:tcPr>
          <w:p w:rsidR="009119F9" w:rsidRPr="00E52DE0" w:rsidRDefault="009119F9" w:rsidP="00800A81">
            <w:pPr>
              <w:jc w:val="right"/>
              <w:rPr>
                <w:sz w:val="20"/>
                <w:szCs w:val="20"/>
              </w:rPr>
            </w:pPr>
            <w:r w:rsidRPr="00E52DE0">
              <w:rPr>
                <w:sz w:val="20"/>
                <w:szCs w:val="20"/>
              </w:rPr>
              <w:t>703</w:t>
            </w:r>
          </w:p>
        </w:tc>
        <w:tc>
          <w:tcPr>
            <w:tcW w:w="1710" w:type="dxa"/>
          </w:tcPr>
          <w:p w:rsidR="009119F9" w:rsidRPr="00E52DE0" w:rsidRDefault="009119F9" w:rsidP="00800A81">
            <w:pPr>
              <w:jc w:val="right"/>
              <w:rPr>
                <w:sz w:val="20"/>
                <w:szCs w:val="20"/>
              </w:rPr>
            </w:pPr>
            <w:r w:rsidRPr="00E52DE0">
              <w:rPr>
                <w:sz w:val="20"/>
                <w:szCs w:val="20"/>
              </w:rPr>
              <w:t>4,805</w:t>
            </w:r>
          </w:p>
        </w:tc>
        <w:tc>
          <w:tcPr>
            <w:tcW w:w="1710" w:type="dxa"/>
          </w:tcPr>
          <w:p w:rsidR="009119F9" w:rsidRPr="00E52DE0" w:rsidRDefault="009119F9" w:rsidP="00800A81">
            <w:pPr>
              <w:jc w:val="right"/>
              <w:rPr>
                <w:sz w:val="20"/>
                <w:szCs w:val="20"/>
              </w:rPr>
            </w:pPr>
            <w:r w:rsidRPr="00E52DE0">
              <w:rPr>
                <w:sz w:val="20"/>
                <w:szCs w:val="20"/>
              </w:rPr>
              <w:t>388</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1,091</w:t>
            </w:r>
          </w:p>
        </w:tc>
      </w:tr>
      <w:tr w:rsidR="009119F9" w:rsidRPr="00E52DE0" w:rsidTr="009119F9">
        <w:tc>
          <w:tcPr>
            <w:tcW w:w="796" w:type="dxa"/>
          </w:tcPr>
          <w:p w:rsidR="009119F9" w:rsidRPr="00E52DE0" w:rsidRDefault="009119F9" w:rsidP="00800A81">
            <w:pPr>
              <w:rPr>
                <w:sz w:val="20"/>
                <w:szCs w:val="20"/>
              </w:rPr>
            </w:pPr>
            <w:r w:rsidRPr="00E52DE0">
              <w:rPr>
                <w:sz w:val="20"/>
                <w:szCs w:val="20"/>
              </w:rPr>
              <w:t>23</w:t>
            </w:r>
          </w:p>
        </w:tc>
        <w:tc>
          <w:tcPr>
            <w:tcW w:w="2534" w:type="dxa"/>
            <w:shd w:val="clear" w:color="auto" w:fill="auto"/>
          </w:tcPr>
          <w:p w:rsidR="009119F9" w:rsidRPr="00E52DE0" w:rsidRDefault="009119F9" w:rsidP="00800A81">
            <w:pPr>
              <w:jc w:val="right"/>
              <w:rPr>
                <w:sz w:val="20"/>
                <w:szCs w:val="20"/>
              </w:rPr>
            </w:pPr>
            <w:r w:rsidRPr="00E52DE0">
              <w:rPr>
                <w:sz w:val="20"/>
                <w:szCs w:val="20"/>
              </w:rPr>
              <w:t>3,350</w:t>
            </w:r>
          </w:p>
        </w:tc>
        <w:tc>
          <w:tcPr>
            <w:tcW w:w="1710" w:type="dxa"/>
          </w:tcPr>
          <w:p w:rsidR="009119F9" w:rsidRPr="00E52DE0" w:rsidRDefault="009119F9" w:rsidP="00800A81">
            <w:pPr>
              <w:jc w:val="right"/>
              <w:rPr>
                <w:sz w:val="20"/>
                <w:szCs w:val="20"/>
              </w:rPr>
            </w:pPr>
            <w:r w:rsidRPr="00E52DE0">
              <w:rPr>
                <w:sz w:val="20"/>
                <w:szCs w:val="20"/>
              </w:rPr>
              <w:t>598,948</w:t>
            </w:r>
          </w:p>
        </w:tc>
        <w:tc>
          <w:tcPr>
            <w:tcW w:w="1710" w:type="dxa"/>
          </w:tcPr>
          <w:p w:rsidR="009119F9" w:rsidRPr="00E52DE0" w:rsidRDefault="009119F9" w:rsidP="00800A81">
            <w:pPr>
              <w:jc w:val="right"/>
              <w:rPr>
                <w:sz w:val="20"/>
                <w:szCs w:val="20"/>
              </w:rPr>
            </w:pPr>
            <w:r w:rsidRPr="00E52DE0">
              <w:rPr>
                <w:sz w:val="20"/>
                <w:szCs w:val="20"/>
              </w:rPr>
              <w:t>5,975</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9,325</w:t>
            </w:r>
          </w:p>
        </w:tc>
      </w:tr>
      <w:tr w:rsidR="009119F9" w:rsidRPr="00E52DE0" w:rsidTr="009119F9">
        <w:tc>
          <w:tcPr>
            <w:tcW w:w="796" w:type="dxa"/>
          </w:tcPr>
          <w:p w:rsidR="009119F9" w:rsidRPr="00E52DE0" w:rsidRDefault="009119F9" w:rsidP="00800A81">
            <w:pPr>
              <w:rPr>
                <w:sz w:val="20"/>
                <w:szCs w:val="20"/>
              </w:rPr>
            </w:pPr>
            <w:r w:rsidRPr="00E52DE0">
              <w:rPr>
                <w:sz w:val="20"/>
                <w:szCs w:val="20"/>
              </w:rPr>
              <w:t>31-33</w:t>
            </w:r>
          </w:p>
        </w:tc>
        <w:tc>
          <w:tcPr>
            <w:tcW w:w="2534" w:type="dxa"/>
            <w:shd w:val="clear" w:color="auto" w:fill="auto"/>
          </w:tcPr>
          <w:p w:rsidR="009119F9" w:rsidRPr="00E52DE0" w:rsidRDefault="009119F9" w:rsidP="00800A81">
            <w:pPr>
              <w:jc w:val="right"/>
              <w:rPr>
                <w:sz w:val="20"/>
                <w:szCs w:val="20"/>
              </w:rPr>
            </w:pPr>
            <w:r w:rsidRPr="00E52DE0">
              <w:rPr>
                <w:sz w:val="20"/>
                <w:szCs w:val="20"/>
              </w:rPr>
              <w:t>12,616</w:t>
            </w:r>
          </w:p>
        </w:tc>
        <w:tc>
          <w:tcPr>
            <w:tcW w:w="1710" w:type="dxa"/>
          </w:tcPr>
          <w:p w:rsidR="009119F9" w:rsidRPr="00E52DE0" w:rsidRDefault="009119F9" w:rsidP="00800A81">
            <w:pPr>
              <w:jc w:val="right"/>
              <w:rPr>
                <w:sz w:val="20"/>
                <w:szCs w:val="20"/>
              </w:rPr>
            </w:pPr>
            <w:r w:rsidRPr="00E52DE0">
              <w:rPr>
                <w:sz w:val="20"/>
                <w:szCs w:val="20"/>
              </w:rPr>
              <w:t>230,178</w:t>
            </w:r>
          </w:p>
        </w:tc>
        <w:tc>
          <w:tcPr>
            <w:tcW w:w="1710" w:type="dxa"/>
          </w:tcPr>
          <w:p w:rsidR="009119F9" w:rsidRPr="00E52DE0" w:rsidRDefault="009119F9" w:rsidP="00800A81">
            <w:pPr>
              <w:jc w:val="right"/>
              <w:rPr>
                <w:sz w:val="20"/>
                <w:szCs w:val="20"/>
              </w:rPr>
            </w:pPr>
            <w:r w:rsidRPr="00E52DE0">
              <w:rPr>
                <w:sz w:val="20"/>
                <w:szCs w:val="20"/>
              </w:rPr>
              <w:t>19,281</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31,897</w:t>
            </w:r>
          </w:p>
        </w:tc>
      </w:tr>
      <w:tr w:rsidR="009119F9" w:rsidRPr="00E52DE0" w:rsidTr="009119F9">
        <w:tc>
          <w:tcPr>
            <w:tcW w:w="796" w:type="dxa"/>
          </w:tcPr>
          <w:p w:rsidR="009119F9" w:rsidRPr="00E52DE0" w:rsidRDefault="009119F9" w:rsidP="00800A81">
            <w:pPr>
              <w:rPr>
                <w:sz w:val="20"/>
                <w:szCs w:val="20"/>
              </w:rPr>
            </w:pPr>
            <w:r w:rsidRPr="00E52DE0">
              <w:rPr>
                <w:sz w:val="20"/>
                <w:szCs w:val="20"/>
              </w:rPr>
              <w:t>42</w:t>
            </w:r>
          </w:p>
        </w:tc>
        <w:tc>
          <w:tcPr>
            <w:tcW w:w="2534" w:type="dxa"/>
            <w:shd w:val="clear" w:color="auto" w:fill="auto"/>
          </w:tcPr>
          <w:p w:rsidR="009119F9" w:rsidRPr="00E52DE0" w:rsidRDefault="009119F9" w:rsidP="00800A81">
            <w:pPr>
              <w:jc w:val="right"/>
              <w:rPr>
                <w:sz w:val="20"/>
                <w:szCs w:val="20"/>
              </w:rPr>
            </w:pPr>
            <w:r w:rsidRPr="00E52DE0">
              <w:rPr>
                <w:sz w:val="20"/>
                <w:szCs w:val="20"/>
              </w:rPr>
              <w:t>16,019</w:t>
            </w:r>
          </w:p>
        </w:tc>
        <w:tc>
          <w:tcPr>
            <w:tcW w:w="1710" w:type="dxa"/>
          </w:tcPr>
          <w:p w:rsidR="009119F9" w:rsidRPr="00E52DE0" w:rsidRDefault="009119F9" w:rsidP="00800A81">
            <w:pPr>
              <w:jc w:val="right"/>
              <w:rPr>
                <w:sz w:val="20"/>
                <w:szCs w:val="20"/>
              </w:rPr>
            </w:pPr>
            <w:r w:rsidRPr="00E52DE0">
              <w:rPr>
                <w:sz w:val="20"/>
                <w:szCs w:val="20"/>
              </w:rPr>
              <w:t>269,816</w:t>
            </w:r>
          </w:p>
        </w:tc>
        <w:tc>
          <w:tcPr>
            <w:tcW w:w="1710" w:type="dxa"/>
          </w:tcPr>
          <w:p w:rsidR="009119F9" w:rsidRPr="00E52DE0" w:rsidRDefault="009119F9" w:rsidP="00800A81">
            <w:pPr>
              <w:jc w:val="right"/>
              <w:rPr>
                <w:sz w:val="20"/>
                <w:szCs w:val="20"/>
              </w:rPr>
            </w:pPr>
            <w:r w:rsidRPr="00E52DE0">
              <w:rPr>
                <w:sz w:val="20"/>
                <w:szCs w:val="20"/>
              </w:rPr>
              <w:t>12,349</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28,368</w:t>
            </w:r>
          </w:p>
        </w:tc>
      </w:tr>
      <w:tr w:rsidR="009119F9" w:rsidRPr="00E52DE0" w:rsidTr="009119F9">
        <w:tc>
          <w:tcPr>
            <w:tcW w:w="796" w:type="dxa"/>
          </w:tcPr>
          <w:p w:rsidR="009119F9" w:rsidRPr="00E52DE0" w:rsidRDefault="009119F9" w:rsidP="00800A81">
            <w:pPr>
              <w:rPr>
                <w:sz w:val="20"/>
                <w:szCs w:val="20"/>
              </w:rPr>
            </w:pPr>
            <w:r w:rsidRPr="00E52DE0">
              <w:rPr>
                <w:sz w:val="20"/>
                <w:szCs w:val="20"/>
              </w:rPr>
              <w:t>44-45</w:t>
            </w:r>
          </w:p>
        </w:tc>
        <w:tc>
          <w:tcPr>
            <w:tcW w:w="2534" w:type="dxa"/>
            <w:shd w:val="clear" w:color="auto" w:fill="auto"/>
          </w:tcPr>
          <w:p w:rsidR="009119F9" w:rsidRPr="00E52DE0" w:rsidRDefault="009119F9" w:rsidP="00800A81">
            <w:pPr>
              <w:jc w:val="right"/>
              <w:rPr>
                <w:sz w:val="20"/>
                <w:szCs w:val="20"/>
              </w:rPr>
            </w:pPr>
            <w:r w:rsidRPr="00E52DE0">
              <w:rPr>
                <w:sz w:val="20"/>
                <w:szCs w:val="20"/>
              </w:rPr>
              <w:t>24,136</w:t>
            </w:r>
          </w:p>
        </w:tc>
        <w:tc>
          <w:tcPr>
            <w:tcW w:w="1710" w:type="dxa"/>
          </w:tcPr>
          <w:p w:rsidR="009119F9" w:rsidRPr="00E52DE0" w:rsidRDefault="009119F9" w:rsidP="00800A81">
            <w:pPr>
              <w:jc w:val="right"/>
              <w:rPr>
                <w:sz w:val="20"/>
                <w:szCs w:val="20"/>
              </w:rPr>
            </w:pPr>
            <w:r w:rsidRPr="00E52DE0">
              <w:rPr>
                <w:sz w:val="20"/>
                <w:szCs w:val="20"/>
              </w:rPr>
              <w:t>599,220</w:t>
            </w:r>
          </w:p>
        </w:tc>
        <w:tc>
          <w:tcPr>
            <w:tcW w:w="1710" w:type="dxa"/>
          </w:tcPr>
          <w:p w:rsidR="009119F9" w:rsidRPr="00E52DE0" w:rsidRDefault="009119F9" w:rsidP="00800A81">
            <w:pPr>
              <w:jc w:val="right"/>
              <w:rPr>
                <w:sz w:val="20"/>
                <w:szCs w:val="20"/>
              </w:rPr>
            </w:pPr>
            <w:r w:rsidRPr="00E52DE0">
              <w:rPr>
                <w:sz w:val="20"/>
                <w:szCs w:val="20"/>
              </w:rPr>
              <w:t>11,932</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36,068</w:t>
            </w:r>
          </w:p>
        </w:tc>
      </w:tr>
      <w:tr w:rsidR="009119F9" w:rsidRPr="00E52DE0" w:rsidTr="009119F9">
        <w:tc>
          <w:tcPr>
            <w:tcW w:w="796" w:type="dxa"/>
          </w:tcPr>
          <w:p w:rsidR="009119F9" w:rsidRPr="00E52DE0" w:rsidRDefault="009119F9" w:rsidP="00800A81">
            <w:pPr>
              <w:rPr>
                <w:sz w:val="20"/>
                <w:szCs w:val="20"/>
              </w:rPr>
            </w:pPr>
            <w:r w:rsidRPr="00E52DE0">
              <w:rPr>
                <w:sz w:val="20"/>
                <w:szCs w:val="20"/>
              </w:rPr>
              <w:t>48-49</w:t>
            </w:r>
          </w:p>
        </w:tc>
        <w:tc>
          <w:tcPr>
            <w:tcW w:w="2534" w:type="dxa"/>
            <w:shd w:val="clear" w:color="auto" w:fill="auto"/>
          </w:tcPr>
          <w:p w:rsidR="009119F9" w:rsidRPr="00E52DE0" w:rsidRDefault="009119F9" w:rsidP="00800A81">
            <w:pPr>
              <w:jc w:val="right"/>
              <w:rPr>
                <w:sz w:val="20"/>
                <w:szCs w:val="20"/>
              </w:rPr>
            </w:pPr>
            <w:r w:rsidRPr="00E52DE0">
              <w:rPr>
                <w:sz w:val="20"/>
                <w:szCs w:val="20"/>
              </w:rPr>
              <w:t>4,067</w:t>
            </w:r>
          </w:p>
        </w:tc>
        <w:tc>
          <w:tcPr>
            <w:tcW w:w="1710" w:type="dxa"/>
          </w:tcPr>
          <w:p w:rsidR="009119F9" w:rsidRPr="00E52DE0" w:rsidRDefault="009119F9" w:rsidP="00800A81">
            <w:pPr>
              <w:jc w:val="right"/>
              <w:rPr>
                <w:sz w:val="20"/>
                <w:szCs w:val="20"/>
              </w:rPr>
            </w:pPr>
            <w:r w:rsidRPr="00E52DE0">
              <w:rPr>
                <w:sz w:val="20"/>
                <w:szCs w:val="20"/>
              </w:rPr>
              <w:t>151,548</w:t>
            </w:r>
          </w:p>
        </w:tc>
        <w:tc>
          <w:tcPr>
            <w:tcW w:w="1710" w:type="dxa"/>
          </w:tcPr>
          <w:p w:rsidR="009119F9" w:rsidRPr="00E52DE0" w:rsidRDefault="009119F9" w:rsidP="00800A81">
            <w:pPr>
              <w:jc w:val="right"/>
              <w:rPr>
                <w:sz w:val="20"/>
                <w:szCs w:val="20"/>
              </w:rPr>
            </w:pPr>
            <w:r w:rsidRPr="00E52DE0">
              <w:rPr>
                <w:sz w:val="20"/>
                <w:szCs w:val="20"/>
              </w:rPr>
              <w:t>4,502</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8,569</w:t>
            </w:r>
          </w:p>
        </w:tc>
      </w:tr>
      <w:tr w:rsidR="009119F9" w:rsidRPr="00E52DE0" w:rsidTr="009119F9">
        <w:tc>
          <w:tcPr>
            <w:tcW w:w="796" w:type="dxa"/>
          </w:tcPr>
          <w:p w:rsidR="009119F9" w:rsidRPr="00E52DE0" w:rsidRDefault="009119F9" w:rsidP="00800A81">
            <w:pPr>
              <w:rPr>
                <w:sz w:val="20"/>
                <w:szCs w:val="20"/>
              </w:rPr>
            </w:pPr>
            <w:r w:rsidRPr="00E52DE0">
              <w:rPr>
                <w:sz w:val="20"/>
                <w:szCs w:val="20"/>
              </w:rPr>
              <w:t>51</w:t>
            </w:r>
          </w:p>
        </w:tc>
        <w:tc>
          <w:tcPr>
            <w:tcW w:w="2534" w:type="dxa"/>
            <w:shd w:val="clear" w:color="auto" w:fill="auto"/>
          </w:tcPr>
          <w:p w:rsidR="009119F9" w:rsidRPr="00E52DE0" w:rsidRDefault="009119F9" w:rsidP="00800A81">
            <w:pPr>
              <w:jc w:val="right"/>
              <w:rPr>
                <w:sz w:val="20"/>
                <w:szCs w:val="20"/>
              </w:rPr>
            </w:pPr>
            <w:r w:rsidRPr="00E52DE0">
              <w:rPr>
                <w:sz w:val="20"/>
                <w:szCs w:val="20"/>
              </w:rPr>
              <w:t>3,126</w:t>
            </w:r>
          </w:p>
        </w:tc>
        <w:tc>
          <w:tcPr>
            <w:tcW w:w="1710" w:type="dxa"/>
          </w:tcPr>
          <w:p w:rsidR="009119F9" w:rsidRPr="00E52DE0" w:rsidRDefault="009119F9" w:rsidP="00800A81">
            <w:pPr>
              <w:jc w:val="right"/>
              <w:rPr>
                <w:sz w:val="20"/>
                <w:szCs w:val="20"/>
              </w:rPr>
            </w:pPr>
            <w:r w:rsidRPr="00E52DE0">
              <w:rPr>
                <w:sz w:val="20"/>
                <w:szCs w:val="20"/>
              </w:rPr>
              <w:t>61,239</w:t>
            </w:r>
          </w:p>
        </w:tc>
        <w:tc>
          <w:tcPr>
            <w:tcW w:w="1710" w:type="dxa"/>
          </w:tcPr>
          <w:p w:rsidR="009119F9" w:rsidRPr="00E52DE0" w:rsidRDefault="009119F9" w:rsidP="00800A81">
            <w:pPr>
              <w:jc w:val="right"/>
              <w:rPr>
                <w:sz w:val="20"/>
                <w:szCs w:val="20"/>
              </w:rPr>
            </w:pPr>
            <w:r w:rsidRPr="00E52DE0">
              <w:rPr>
                <w:sz w:val="20"/>
                <w:szCs w:val="20"/>
              </w:rPr>
              <w:t>3,519</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6,645</w:t>
            </w:r>
          </w:p>
        </w:tc>
      </w:tr>
      <w:tr w:rsidR="009119F9" w:rsidRPr="00E52DE0" w:rsidTr="009119F9">
        <w:tc>
          <w:tcPr>
            <w:tcW w:w="796" w:type="dxa"/>
          </w:tcPr>
          <w:p w:rsidR="009119F9" w:rsidRPr="00E52DE0" w:rsidRDefault="009119F9" w:rsidP="00800A81">
            <w:pPr>
              <w:rPr>
                <w:sz w:val="20"/>
                <w:szCs w:val="20"/>
              </w:rPr>
            </w:pPr>
            <w:r w:rsidRPr="00E52DE0">
              <w:rPr>
                <w:sz w:val="20"/>
                <w:szCs w:val="20"/>
              </w:rPr>
              <w:t>52</w:t>
            </w:r>
          </w:p>
        </w:tc>
        <w:tc>
          <w:tcPr>
            <w:tcW w:w="2534" w:type="dxa"/>
            <w:shd w:val="clear" w:color="auto" w:fill="auto"/>
          </w:tcPr>
          <w:p w:rsidR="009119F9" w:rsidRPr="00E52DE0" w:rsidRDefault="009119F9" w:rsidP="00800A81">
            <w:pPr>
              <w:jc w:val="right"/>
              <w:rPr>
                <w:sz w:val="20"/>
                <w:szCs w:val="20"/>
              </w:rPr>
            </w:pPr>
            <w:r w:rsidRPr="00E52DE0">
              <w:rPr>
                <w:sz w:val="20"/>
                <w:szCs w:val="20"/>
              </w:rPr>
              <w:t>12,996</w:t>
            </w:r>
          </w:p>
        </w:tc>
        <w:tc>
          <w:tcPr>
            <w:tcW w:w="1710" w:type="dxa"/>
          </w:tcPr>
          <w:p w:rsidR="009119F9" w:rsidRPr="00E52DE0" w:rsidRDefault="009119F9" w:rsidP="00800A81">
            <w:pPr>
              <w:jc w:val="right"/>
              <w:rPr>
                <w:sz w:val="20"/>
                <w:szCs w:val="20"/>
              </w:rPr>
            </w:pPr>
            <w:r w:rsidRPr="00E52DE0">
              <w:rPr>
                <w:sz w:val="20"/>
                <w:szCs w:val="20"/>
              </w:rPr>
              <w:t>214,079</w:t>
            </w:r>
          </w:p>
        </w:tc>
        <w:tc>
          <w:tcPr>
            <w:tcW w:w="1710" w:type="dxa"/>
          </w:tcPr>
          <w:p w:rsidR="009119F9" w:rsidRPr="00E52DE0" w:rsidRDefault="009119F9" w:rsidP="00800A81">
            <w:pPr>
              <w:jc w:val="right"/>
              <w:rPr>
                <w:sz w:val="20"/>
                <w:szCs w:val="20"/>
              </w:rPr>
            </w:pPr>
            <w:r w:rsidRPr="00E52DE0">
              <w:rPr>
                <w:sz w:val="20"/>
                <w:szCs w:val="20"/>
              </w:rPr>
              <w:t>4,965</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17,961</w:t>
            </w:r>
          </w:p>
        </w:tc>
      </w:tr>
      <w:tr w:rsidR="009119F9" w:rsidRPr="00E52DE0" w:rsidTr="009119F9">
        <w:tc>
          <w:tcPr>
            <w:tcW w:w="796" w:type="dxa"/>
          </w:tcPr>
          <w:p w:rsidR="009119F9" w:rsidRPr="00E52DE0" w:rsidRDefault="009119F9" w:rsidP="00800A81">
            <w:pPr>
              <w:rPr>
                <w:sz w:val="20"/>
                <w:szCs w:val="20"/>
              </w:rPr>
            </w:pPr>
            <w:r w:rsidRPr="00E52DE0">
              <w:rPr>
                <w:sz w:val="20"/>
                <w:szCs w:val="20"/>
              </w:rPr>
              <w:t>53</w:t>
            </w:r>
          </w:p>
        </w:tc>
        <w:tc>
          <w:tcPr>
            <w:tcW w:w="2534" w:type="dxa"/>
            <w:shd w:val="clear" w:color="auto" w:fill="auto"/>
          </w:tcPr>
          <w:p w:rsidR="009119F9" w:rsidRPr="00E52DE0" w:rsidRDefault="009119F9" w:rsidP="00800A81">
            <w:pPr>
              <w:jc w:val="right"/>
              <w:rPr>
                <w:sz w:val="20"/>
                <w:szCs w:val="20"/>
              </w:rPr>
            </w:pPr>
            <w:r w:rsidRPr="00E52DE0">
              <w:rPr>
                <w:sz w:val="20"/>
                <w:szCs w:val="20"/>
              </w:rPr>
              <w:t>5,362</w:t>
            </w:r>
          </w:p>
        </w:tc>
        <w:tc>
          <w:tcPr>
            <w:tcW w:w="1710" w:type="dxa"/>
          </w:tcPr>
          <w:p w:rsidR="009119F9" w:rsidRPr="00E52DE0" w:rsidRDefault="009119F9" w:rsidP="00800A81">
            <w:pPr>
              <w:jc w:val="right"/>
              <w:rPr>
                <w:sz w:val="20"/>
                <w:szCs w:val="20"/>
              </w:rPr>
            </w:pPr>
            <w:r w:rsidRPr="00E52DE0">
              <w:rPr>
                <w:sz w:val="20"/>
                <w:szCs w:val="20"/>
              </w:rPr>
              <w:t>241,089</w:t>
            </w:r>
          </w:p>
        </w:tc>
        <w:tc>
          <w:tcPr>
            <w:tcW w:w="1710" w:type="dxa"/>
          </w:tcPr>
          <w:p w:rsidR="009119F9" w:rsidRPr="00E52DE0" w:rsidRDefault="009119F9" w:rsidP="00800A81">
            <w:pPr>
              <w:jc w:val="right"/>
              <w:rPr>
                <w:sz w:val="20"/>
                <w:szCs w:val="20"/>
              </w:rPr>
            </w:pPr>
            <w:r w:rsidRPr="00E52DE0">
              <w:rPr>
                <w:sz w:val="20"/>
                <w:szCs w:val="20"/>
              </w:rPr>
              <w:t>4,048</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9,410</w:t>
            </w:r>
          </w:p>
        </w:tc>
      </w:tr>
      <w:tr w:rsidR="009119F9" w:rsidRPr="00E52DE0" w:rsidTr="009119F9">
        <w:tc>
          <w:tcPr>
            <w:tcW w:w="796" w:type="dxa"/>
          </w:tcPr>
          <w:p w:rsidR="009119F9" w:rsidRPr="00E52DE0" w:rsidRDefault="009119F9" w:rsidP="00800A81">
            <w:pPr>
              <w:rPr>
                <w:sz w:val="20"/>
                <w:szCs w:val="20"/>
              </w:rPr>
            </w:pPr>
            <w:r w:rsidRPr="00E52DE0">
              <w:rPr>
                <w:sz w:val="20"/>
                <w:szCs w:val="20"/>
              </w:rPr>
              <w:t>54</w:t>
            </w:r>
          </w:p>
        </w:tc>
        <w:tc>
          <w:tcPr>
            <w:tcW w:w="2534" w:type="dxa"/>
            <w:shd w:val="clear" w:color="auto" w:fill="auto"/>
          </w:tcPr>
          <w:p w:rsidR="009119F9" w:rsidRPr="00E52DE0" w:rsidRDefault="009119F9" w:rsidP="00800A81">
            <w:pPr>
              <w:jc w:val="right"/>
              <w:rPr>
                <w:sz w:val="20"/>
                <w:szCs w:val="20"/>
              </w:rPr>
            </w:pPr>
            <w:r w:rsidRPr="00E52DE0">
              <w:rPr>
                <w:sz w:val="20"/>
                <w:szCs w:val="20"/>
              </w:rPr>
              <w:t>11,753</w:t>
            </w:r>
          </w:p>
        </w:tc>
        <w:tc>
          <w:tcPr>
            <w:tcW w:w="1710" w:type="dxa"/>
          </w:tcPr>
          <w:p w:rsidR="009119F9" w:rsidRPr="00E52DE0" w:rsidRDefault="009119F9" w:rsidP="00800A81">
            <w:pPr>
              <w:jc w:val="right"/>
              <w:rPr>
                <w:sz w:val="20"/>
                <w:szCs w:val="20"/>
              </w:rPr>
            </w:pPr>
            <w:r w:rsidRPr="00E52DE0">
              <w:rPr>
                <w:sz w:val="20"/>
                <w:szCs w:val="20"/>
              </w:rPr>
              <w:t>700,671</w:t>
            </w:r>
          </w:p>
        </w:tc>
        <w:tc>
          <w:tcPr>
            <w:tcW w:w="1710" w:type="dxa"/>
          </w:tcPr>
          <w:p w:rsidR="009119F9" w:rsidRPr="00E52DE0" w:rsidRDefault="009119F9" w:rsidP="00800A81">
            <w:pPr>
              <w:jc w:val="right"/>
              <w:rPr>
                <w:sz w:val="20"/>
                <w:szCs w:val="20"/>
              </w:rPr>
            </w:pPr>
            <w:r w:rsidRPr="00E52DE0">
              <w:rPr>
                <w:sz w:val="20"/>
                <w:szCs w:val="20"/>
              </w:rPr>
              <w:t>14,395</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26,148</w:t>
            </w:r>
          </w:p>
        </w:tc>
      </w:tr>
      <w:tr w:rsidR="009119F9" w:rsidRPr="00E52DE0" w:rsidTr="009119F9">
        <w:tc>
          <w:tcPr>
            <w:tcW w:w="796" w:type="dxa"/>
          </w:tcPr>
          <w:p w:rsidR="009119F9" w:rsidRPr="00E52DE0" w:rsidRDefault="009119F9" w:rsidP="00800A81">
            <w:pPr>
              <w:rPr>
                <w:sz w:val="20"/>
                <w:szCs w:val="20"/>
              </w:rPr>
            </w:pPr>
            <w:r w:rsidRPr="00E52DE0">
              <w:rPr>
                <w:sz w:val="20"/>
                <w:szCs w:val="20"/>
              </w:rPr>
              <w:t>56</w:t>
            </w:r>
          </w:p>
        </w:tc>
        <w:tc>
          <w:tcPr>
            <w:tcW w:w="2534" w:type="dxa"/>
            <w:shd w:val="clear" w:color="auto" w:fill="auto"/>
          </w:tcPr>
          <w:p w:rsidR="009119F9" w:rsidRPr="00E52DE0" w:rsidRDefault="009119F9" w:rsidP="00800A81">
            <w:pPr>
              <w:jc w:val="right"/>
              <w:rPr>
                <w:sz w:val="20"/>
                <w:szCs w:val="20"/>
              </w:rPr>
            </w:pPr>
            <w:r w:rsidRPr="00E52DE0">
              <w:rPr>
                <w:sz w:val="20"/>
                <w:szCs w:val="20"/>
              </w:rPr>
              <w:t>5,231</w:t>
            </w:r>
          </w:p>
        </w:tc>
        <w:tc>
          <w:tcPr>
            <w:tcW w:w="1710" w:type="dxa"/>
          </w:tcPr>
          <w:p w:rsidR="009119F9" w:rsidRPr="00E52DE0" w:rsidRDefault="009119F9" w:rsidP="00800A81">
            <w:pPr>
              <w:jc w:val="right"/>
              <w:rPr>
                <w:sz w:val="20"/>
                <w:szCs w:val="20"/>
              </w:rPr>
            </w:pPr>
            <w:r w:rsidRPr="00E52DE0">
              <w:rPr>
                <w:sz w:val="20"/>
                <w:szCs w:val="20"/>
              </w:rPr>
              <w:t>296,020</w:t>
            </w:r>
          </w:p>
        </w:tc>
        <w:tc>
          <w:tcPr>
            <w:tcW w:w="1710" w:type="dxa"/>
          </w:tcPr>
          <w:p w:rsidR="009119F9" w:rsidRPr="00E52DE0" w:rsidRDefault="009119F9" w:rsidP="00800A81">
            <w:pPr>
              <w:jc w:val="right"/>
              <w:rPr>
                <w:sz w:val="20"/>
                <w:szCs w:val="20"/>
              </w:rPr>
            </w:pPr>
            <w:r w:rsidRPr="00E52DE0">
              <w:rPr>
                <w:sz w:val="20"/>
                <w:szCs w:val="20"/>
              </w:rPr>
              <w:t>10,046</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15,277</w:t>
            </w:r>
          </w:p>
        </w:tc>
      </w:tr>
      <w:tr w:rsidR="009119F9" w:rsidRPr="00E52DE0" w:rsidTr="009119F9">
        <w:tc>
          <w:tcPr>
            <w:tcW w:w="796" w:type="dxa"/>
          </w:tcPr>
          <w:p w:rsidR="009119F9" w:rsidRPr="00E52DE0" w:rsidRDefault="009119F9" w:rsidP="00800A81">
            <w:pPr>
              <w:rPr>
                <w:sz w:val="20"/>
                <w:szCs w:val="20"/>
              </w:rPr>
            </w:pPr>
            <w:r w:rsidRPr="00E52DE0">
              <w:rPr>
                <w:sz w:val="20"/>
                <w:szCs w:val="20"/>
              </w:rPr>
              <w:t>61</w:t>
            </w:r>
          </w:p>
        </w:tc>
        <w:tc>
          <w:tcPr>
            <w:tcW w:w="2534" w:type="dxa"/>
            <w:shd w:val="clear" w:color="auto" w:fill="auto"/>
          </w:tcPr>
          <w:p w:rsidR="009119F9" w:rsidRPr="00E52DE0" w:rsidRDefault="009119F9" w:rsidP="00800A81">
            <w:pPr>
              <w:jc w:val="right"/>
              <w:rPr>
                <w:sz w:val="20"/>
                <w:szCs w:val="20"/>
              </w:rPr>
            </w:pPr>
            <w:r w:rsidRPr="00E52DE0">
              <w:rPr>
                <w:sz w:val="20"/>
                <w:szCs w:val="20"/>
              </w:rPr>
              <w:t>1,078</w:t>
            </w:r>
          </w:p>
        </w:tc>
        <w:tc>
          <w:tcPr>
            <w:tcW w:w="1710" w:type="dxa"/>
          </w:tcPr>
          <w:p w:rsidR="009119F9" w:rsidRPr="00E52DE0" w:rsidRDefault="009119F9" w:rsidP="00800A81">
            <w:pPr>
              <w:jc w:val="right"/>
              <w:rPr>
                <w:sz w:val="20"/>
                <w:szCs w:val="20"/>
              </w:rPr>
            </w:pPr>
            <w:r w:rsidRPr="00E52DE0">
              <w:rPr>
                <w:sz w:val="20"/>
                <w:szCs w:val="20"/>
              </w:rPr>
              <w:t>55,854</w:t>
            </w:r>
          </w:p>
        </w:tc>
        <w:tc>
          <w:tcPr>
            <w:tcW w:w="1710" w:type="dxa"/>
          </w:tcPr>
          <w:p w:rsidR="009119F9" w:rsidRPr="00E52DE0" w:rsidRDefault="009119F9" w:rsidP="00800A81">
            <w:pPr>
              <w:jc w:val="right"/>
              <w:rPr>
                <w:sz w:val="20"/>
                <w:szCs w:val="20"/>
              </w:rPr>
            </w:pPr>
            <w:r w:rsidRPr="00E52DE0">
              <w:rPr>
                <w:sz w:val="20"/>
                <w:szCs w:val="20"/>
              </w:rPr>
              <w:t>1,046</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2,124</w:t>
            </w:r>
          </w:p>
        </w:tc>
      </w:tr>
      <w:tr w:rsidR="009119F9" w:rsidRPr="00E52DE0" w:rsidTr="009119F9">
        <w:tc>
          <w:tcPr>
            <w:tcW w:w="796" w:type="dxa"/>
          </w:tcPr>
          <w:p w:rsidR="009119F9" w:rsidRPr="00E52DE0" w:rsidRDefault="009119F9" w:rsidP="00800A81">
            <w:pPr>
              <w:rPr>
                <w:sz w:val="20"/>
                <w:szCs w:val="20"/>
              </w:rPr>
            </w:pPr>
            <w:r w:rsidRPr="00E52DE0">
              <w:rPr>
                <w:sz w:val="20"/>
                <w:szCs w:val="20"/>
              </w:rPr>
              <w:t>62</w:t>
            </w:r>
          </w:p>
        </w:tc>
        <w:tc>
          <w:tcPr>
            <w:tcW w:w="2534" w:type="dxa"/>
            <w:shd w:val="clear" w:color="auto" w:fill="auto"/>
          </w:tcPr>
          <w:p w:rsidR="009119F9" w:rsidRPr="00E52DE0" w:rsidRDefault="009119F9" w:rsidP="00800A81">
            <w:pPr>
              <w:jc w:val="right"/>
              <w:rPr>
                <w:sz w:val="20"/>
                <w:szCs w:val="20"/>
              </w:rPr>
            </w:pPr>
            <w:r w:rsidRPr="00E52DE0">
              <w:rPr>
                <w:sz w:val="20"/>
                <w:szCs w:val="20"/>
              </w:rPr>
              <w:t>23,206</w:t>
            </w:r>
          </w:p>
        </w:tc>
        <w:tc>
          <w:tcPr>
            <w:tcW w:w="1710" w:type="dxa"/>
          </w:tcPr>
          <w:p w:rsidR="009119F9" w:rsidRPr="00E52DE0" w:rsidRDefault="009119F9" w:rsidP="00800A81">
            <w:pPr>
              <w:jc w:val="right"/>
              <w:rPr>
                <w:sz w:val="20"/>
                <w:szCs w:val="20"/>
              </w:rPr>
            </w:pPr>
            <w:r w:rsidRPr="00E52DE0">
              <w:rPr>
                <w:sz w:val="20"/>
                <w:szCs w:val="20"/>
              </w:rPr>
              <w:t>588,021</w:t>
            </w:r>
          </w:p>
        </w:tc>
        <w:tc>
          <w:tcPr>
            <w:tcW w:w="1710" w:type="dxa"/>
          </w:tcPr>
          <w:p w:rsidR="009119F9" w:rsidRPr="00E52DE0" w:rsidRDefault="009119F9" w:rsidP="00800A81">
            <w:pPr>
              <w:jc w:val="right"/>
              <w:rPr>
                <w:sz w:val="20"/>
                <w:szCs w:val="20"/>
              </w:rPr>
            </w:pPr>
            <w:r w:rsidRPr="00E52DE0">
              <w:rPr>
                <w:sz w:val="20"/>
                <w:szCs w:val="20"/>
              </w:rPr>
              <w:t>13,527</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36,733</w:t>
            </w:r>
          </w:p>
        </w:tc>
      </w:tr>
      <w:tr w:rsidR="009119F9" w:rsidRPr="00E52DE0" w:rsidTr="009119F9">
        <w:tc>
          <w:tcPr>
            <w:tcW w:w="796" w:type="dxa"/>
          </w:tcPr>
          <w:p w:rsidR="009119F9" w:rsidRPr="00E52DE0" w:rsidRDefault="009119F9" w:rsidP="00800A81">
            <w:pPr>
              <w:rPr>
                <w:sz w:val="20"/>
                <w:szCs w:val="20"/>
              </w:rPr>
            </w:pPr>
            <w:r w:rsidRPr="00E52DE0">
              <w:rPr>
                <w:sz w:val="20"/>
                <w:szCs w:val="20"/>
              </w:rPr>
              <w:t>71</w:t>
            </w:r>
          </w:p>
        </w:tc>
        <w:tc>
          <w:tcPr>
            <w:tcW w:w="2534" w:type="dxa"/>
            <w:shd w:val="clear" w:color="auto" w:fill="auto"/>
          </w:tcPr>
          <w:p w:rsidR="009119F9" w:rsidRPr="00E52DE0" w:rsidRDefault="009119F9" w:rsidP="00800A81">
            <w:pPr>
              <w:jc w:val="right"/>
              <w:rPr>
                <w:sz w:val="20"/>
                <w:szCs w:val="20"/>
              </w:rPr>
            </w:pPr>
            <w:r w:rsidRPr="00E52DE0">
              <w:rPr>
                <w:sz w:val="20"/>
                <w:szCs w:val="20"/>
              </w:rPr>
              <w:t>1,921</w:t>
            </w:r>
          </w:p>
        </w:tc>
        <w:tc>
          <w:tcPr>
            <w:tcW w:w="1710" w:type="dxa"/>
          </w:tcPr>
          <w:p w:rsidR="009119F9" w:rsidRPr="00E52DE0" w:rsidRDefault="009119F9" w:rsidP="00800A81">
            <w:pPr>
              <w:jc w:val="right"/>
              <w:rPr>
                <w:sz w:val="20"/>
                <w:szCs w:val="20"/>
              </w:rPr>
            </w:pPr>
            <w:r w:rsidRPr="00E52DE0">
              <w:rPr>
                <w:sz w:val="20"/>
                <w:szCs w:val="20"/>
              </w:rPr>
              <w:t>103,934</w:t>
            </w:r>
          </w:p>
        </w:tc>
        <w:tc>
          <w:tcPr>
            <w:tcW w:w="1710" w:type="dxa"/>
          </w:tcPr>
          <w:p w:rsidR="009119F9" w:rsidRPr="00E52DE0" w:rsidRDefault="009119F9" w:rsidP="00800A81">
            <w:pPr>
              <w:jc w:val="right"/>
              <w:rPr>
                <w:sz w:val="20"/>
                <w:szCs w:val="20"/>
              </w:rPr>
            </w:pPr>
            <w:r w:rsidRPr="00E52DE0">
              <w:rPr>
                <w:sz w:val="20"/>
                <w:szCs w:val="20"/>
              </w:rPr>
              <w:t>3,952</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5,873</w:t>
            </w:r>
          </w:p>
        </w:tc>
      </w:tr>
      <w:tr w:rsidR="009119F9" w:rsidRPr="00E52DE0" w:rsidTr="009119F9">
        <w:tc>
          <w:tcPr>
            <w:tcW w:w="796" w:type="dxa"/>
          </w:tcPr>
          <w:p w:rsidR="009119F9" w:rsidRPr="00E52DE0" w:rsidRDefault="009119F9" w:rsidP="00800A81">
            <w:pPr>
              <w:rPr>
                <w:sz w:val="20"/>
                <w:szCs w:val="20"/>
              </w:rPr>
            </w:pPr>
            <w:r w:rsidRPr="00E52DE0">
              <w:rPr>
                <w:sz w:val="20"/>
                <w:szCs w:val="20"/>
              </w:rPr>
              <w:t>72</w:t>
            </w:r>
          </w:p>
        </w:tc>
        <w:tc>
          <w:tcPr>
            <w:tcW w:w="2534" w:type="dxa"/>
            <w:shd w:val="clear" w:color="auto" w:fill="auto"/>
          </w:tcPr>
          <w:p w:rsidR="009119F9" w:rsidRPr="00E52DE0" w:rsidRDefault="009119F9" w:rsidP="00800A81">
            <w:pPr>
              <w:jc w:val="right"/>
              <w:rPr>
                <w:sz w:val="20"/>
                <w:szCs w:val="20"/>
              </w:rPr>
            </w:pPr>
            <w:r w:rsidRPr="00E52DE0">
              <w:rPr>
                <w:sz w:val="20"/>
                <w:szCs w:val="20"/>
              </w:rPr>
              <w:t>15,254</w:t>
            </w:r>
          </w:p>
        </w:tc>
        <w:tc>
          <w:tcPr>
            <w:tcW w:w="1710" w:type="dxa"/>
          </w:tcPr>
          <w:p w:rsidR="009119F9" w:rsidRPr="00E52DE0" w:rsidRDefault="009119F9" w:rsidP="00800A81">
            <w:pPr>
              <w:jc w:val="right"/>
              <w:rPr>
                <w:sz w:val="20"/>
                <w:szCs w:val="20"/>
              </w:rPr>
            </w:pPr>
            <w:r w:rsidRPr="00E52DE0">
              <w:rPr>
                <w:sz w:val="20"/>
                <w:szCs w:val="20"/>
              </w:rPr>
              <w:t>456,825</w:t>
            </w:r>
          </w:p>
        </w:tc>
        <w:tc>
          <w:tcPr>
            <w:tcW w:w="1710" w:type="dxa"/>
          </w:tcPr>
          <w:p w:rsidR="009119F9" w:rsidRPr="00E52DE0" w:rsidRDefault="009119F9" w:rsidP="00800A81">
            <w:pPr>
              <w:jc w:val="right"/>
              <w:rPr>
                <w:sz w:val="20"/>
                <w:szCs w:val="20"/>
              </w:rPr>
            </w:pPr>
            <w:r w:rsidRPr="00E52DE0">
              <w:rPr>
                <w:sz w:val="20"/>
                <w:szCs w:val="20"/>
              </w:rPr>
              <w:t>5,382</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20,636</w:t>
            </w:r>
          </w:p>
        </w:tc>
      </w:tr>
      <w:tr w:rsidR="009119F9" w:rsidRPr="00E52DE0" w:rsidTr="009119F9">
        <w:tc>
          <w:tcPr>
            <w:tcW w:w="796" w:type="dxa"/>
          </w:tcPr>
          <w:p w:rsidR="009119F9" w:rsidRPr="00E52DE0" w:rsidRDefault="009119F9" w:rsidP="00800A81">
            <w:pPr>
              <w:rPr>
                <w:sz w:val="20"/>
                <w:szCs w:val="20"/>
              </w:rPr>
            </w:pPr>
            <w:r w:rsidRPr="00E52DE0">
              <w:rPr>
                <w:sz w:val="20"/>
                <w:szCs w:val="20"/>
              </w:rPr>
              <w:t>81</w:t>
            </w:r>
          </w:p>
        </w:tc>
        <w:tc>
          <w:tcPr>
            <w:tcW w:w="2534" w:type="dxa"/>
            <w:shd w:val="clear" w:color="auto" w:fill="auto"/>
          </w:tcPr>
          <w:p w:rsidR="009119F9" w:rsidRPr="00E52DE0" w:rsidRDefault="009119F9" w:rsidP="00800A81">
            <w:pPr>
              <w:jc w:val="right"/>
              <w:rPr>
                <w:sz w:val="20"/>
                <w:szCs w:val="20"/>
              </w:rPr>
            </w:pPr>
            <w:r w:rsidRPr="00E52DE0">
              <w:rPr>
                <w:sz w:val="20"/>
                <w:szCs w:val="20"/>
              </w:rPr>
              <w:t>7,875</w:t>
            </w:r>
          </w:p>
        </w:tc>
        <w:tc>
          <w:tcPr>
            <w:tcW w:w="1710" w:type="dxa"/>
          </w:tcPr>
          <w:p w:rsidR="009119F9" w:rsidRPr="00E52DE0" w:rsidRDefault="009119F9" w:rsidP="00800A81">
            <w:pPr>
              <w:jc w:val="right"/>
              <w:rPr>
                <w:sz w:val="20"/>
                <w:szCs w:val="20"/>
              </w:rPr>
            </w:pPr>
            <w:r w:rsidRPr="00E52DE0">
              <w:rPr>
                <w:sz w:val="20"/>
                <w:szCs w:val="20"/>
              </w:rPr>
              <w:t>439,609</w:t>
            </w:r>
          </w:p>
        </w:tc>
        <w:tc>
          <w:tcPr>
            <w:tcW w:w="1710" w:type="dxa"/>
          </w:tcPr>
          <w:p w:rsidR="009119F9" w:rsidRPr="00E52DE0" w:rsidRDefault="009119F9" w:rsidP="00800A81">
            <w:pPr>
              <w:jc w:val="right"/>
              <w:rPr>
                <w:sz w:val="20"/>
                <w:szCs w:val="20"/>
              </w:rPr>
            </w:pPr>
            <w:r w:rsidRPr="00E52DE0">
              <w:rPr>
                <w:sz w:val="20"/>
                <w:szCs w:val="20"/>
              </w:rPr>
              <w:t>5,342</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13,217</w:t>
            </w:r>
          </w:p>
        </w:tc>
      </w:tr>
      <w:tr w:rsidR="009119F9" w:rsidRPr="00E52DE0" w:rsidTr="009119F9">
        <w:tc>
          <w:tcPr>
            <w:tcW w:w="796" w:type="dxa"/>
          </w:tcPr>
          <w:p w:rsidR="009119F9" w:rsidRPr="00E52DE0" w:rsidRDefault="009119F9" w:rsidP="00800A81">
            <w:pPr>
              <w:rPr>
                <w:sz w:val="20"/>
                <w:szCs w:val="20"/>
              </w:rPr>
            </w:pPr>
            <w:r w:rsidRPr="00E52DE0">
              <w:rPr>
                <w:sz w:val="20"/>
                <w:szCs w:val="20"/>
              </w:rPr>
              <w:t>Total</w:t>
            </w:r>
          </w:p>
        </w:tc>
        <w:tc>
          <w:tcPr>
            <w:tcW w:w="2534" w:type="dxa"/>
            <w:shd w:val="clear" w:color="auto" w:fill="auto"/>
          </w:tcPr>
          <w:p w:rsidR="009119F9" w:rsidRPr="00E52DE0" w:rsidRDefault="009119F9" w:rsidP="00800A81">
            <w:pPr>
              <w:jc w:val="right"/>
              <w:rPr>
                <w:sz w:val="20"/>
                <w:szCs w:val="20"/>
              </w:rPr>
            </w:pPr>
            <w:r w:rsidRPr="00E52DE0">
              <w:rPr>
                <w:sz w:val="20"/>
                <w:szCs w:val="20"/>
              </w:rPr>
              <w:t>149,570</w:t>
            </w:r>
          </w:p>
        </w:tc>
        <w:tc>
          <w:tcPr>
            <w:tcW w:w="1710" w:type="dxa"/>
          </w:tcPr>
          <w:p w:rsidR="009119F9" w:rsidRPr="00E52DE0" w:rsidRDefault="009119F9" w:rsidP="00800A81">
            <w:pPr>
              <w:jc w:val="right"/>
              <w:rPr>
                <w:sz w:val="20"/>
                <w:szCs w:val="20"/>
              </w:rPr>
            </w:pPr>
            <w:r w:rsidRPr="00E52DE0">
              <w:rPr>
                <w:sz w:val="20"/>
                <w:szCs w:val="20"/>
              </w:rPr>
              <w:t>5,030,847</w:t>
            </w:r>
          </w:p>
        </w:tc>
        <w:tc>
          <w:tcPr>
            <w:tcW w:w="1710" w:type="dxa"/>
          </w:tcPr>
          <w:p w:rsidR="009119F9" w:rsidRPr="00E52DE0" w:rsidRDefault="009119F9" w:rsidP="00800A81">
            <w:pPr>
              <w:jc w:val="right"/>
              <w:rPr>
                <w:sz w:val="20"/>
                <w:szCs w:val="20"/>
              </w:rPr>
            </w:pPr>
            <w:r w:rsidRPr="00E52DE0">
              <w:rPr>
                <w:sz w:val="20"/>
                <w:szCs w:val="20"/>
              </w:rPr>
              <w:t>121,300</w:t>
            </w:r>
          </w:p>
        </w:tc>
        <w:tc>
          <w:tcPr>
            <w:tcW w:w="1710" w:type="dxa"/>
            <w:vAlign w:val="bottom"/>
          </w:tcPr>
          <w:p w:rsidR="009119F9" w:rsidRPr="00E52DE0" w:rsidRDefault="009119F9">
            <w:pPr>
              <w:jc w:val="right"/>
              <w:rPr>
                <w:rFonts w:ascii="Calibri" w:hAnsi="Calibri"/>
                <w:color w:val="000000"/>
              </w:rPr>
            </w:pPr>
            <w:r w:rsidRPr="00E52DE0">
              <w:rPr>
                <w:rFonts w:ascii="Calibri" w:hAnsi="Calibri"/>
                <w:color w:val="000000"/>
              </w:rPr>
              <w:t>270,870</w:t>
            </w:r>
          </w:p>
        </w:tc>
      </w:tr>
    </w:tbl>
    <w:p w:rsidR="00800A81" w:rsidRPr="00E52DE0" w:rsidRDefault="009119F9" w:rsidP="009119F9">
      <w:pPr>
        <w:spacing w:after="0"/>
        <w:ind w:left="720" w:hanging="720"/>
        <w:rPr>
          <w:sz w:val="20"/>
          <w:szCs w:val="20"/>
        </w:rPr>
      </w:pPr>
      <w:r w:rsidRPr="00E52DE0">
        <w:rPr>
          <w:sz w:val="20"/>
          <w:szCs w:val="20"/>
        </w:rPr>
        <w:t xml:space="preserve">Note: </w:t>
      </w:r>
      <w:r w:rsidRPr="00E52DE0">
        <w:rPr>
          <w:sz w:val="20"/>
          <w:szCs w:val="20"/>
        </w:rPr>
        <w:tab/>
      </w:r>
      <w:r w:rsidR="00C75868" w:rsidRPr="00E52DE0">
        <w:rPr>
          <w:sz w:val="20"/>
          <w:szCs w:val="20"/>
        </w:rPr>
        <w:t xml:space="preserve">Enterprises, known to consist of multiple establishments at the time of questionnaire mailout, </w:t>
      </w:r>
      <w:r w:rsidRPr="00E52DE0">
        <w:rPr>
          <w:sz w:val="20"/>
          <w:szCs w:val="20"/>
        </w:rPr>
        <w:t xml:space="preserve">were </w:t>
      </w:r>
      <w:r w:rsidR="00C75868" w:rsidRPr="00E52DE0">
        <w:rPr>
          <w:sz w:val="20"/>
          <w:szCs w:val="20"/>
        </w:rPr>
        <w:t>included in the ESP sample</w:t>
      </w:r>
      <w:r w:rsidRPr="00E52DE0">
        <w:rPr>
          <w:sz w:val="20"/>
          <w:szCs w:val="20"/>
        </w:rPr>
        <w:t xml:space="preserve"> with certainty.  </w:t>
      </w:r>
      <w:r w:rsidR="009D6C40" w:rsidRPr="00E52DE0">
        <w:rPr>
          <w:sz w:val="20"/>
          <w:szCs w:val="20"/>
        </w:rPr>
        <w:t>Therefore,</w:t>
      </w:r>
      <w:r w:rsidRPr="00E52DE0">
        <w:rPr>
          <w:sz w:val="20"/>
          <w:szCs w:val="20"/>
        </w:rPr>
        <w:t xml:space="preserve"> the </w:t>
      </w:r>
      <w:r w:rsidR="00854BB0">
        <w:rPr>
          <w:sz w:val="20"/>
          <w:szCs w:val="20"/>
        </w:rPr>
        <w:t>m</w:t>
      </w:r>
      <w:r w:rsidRPr="00E52DE0">
        <w:rPr>
          <w:sz w:val="20"/>
          <w:szCs w:val="20"/>
        </w:rPr>
        <w:t>ulti-establishment frame and sample are identical.</w:t>
      </w:r>
    </w:p>
    <w:p w:rsidR="00FF2246" w:rsidRPr="00E52DE0" w:rsidRDefault="00FF2246" w:rsidP="00FF2246">
      <w:pPr>
        <w:spacing w:after="0"/>
      </w:pPr>
    </w:p>
    <w:p w:rsidR="00F262BA" w:rsidRPr="00E52DE0" w:rsidRDefault="00F262BA" w:rsidP="00800A81">
      <w:r w:rsidRPr="00E52DE0">
        <w:t xml:space="preserve">Every enterprise included in the </w:t>
      </w:r>
      <w:r w:rsidR="00A45201" w:rsidRPr="00E52DE0">
        <w:t xml:space="preserve">2012 </w:t>
      </w:r>
      <w:r w:rsidRPr="00E52DE0">
        <w:t>ESP sample</w:t>
      </w:r>
      <w:r w:rsidR="00564D32" w:rsidRPr="00E52DE0">
        <w:t xml:space="preserve"> wa</w:t>
      </w:r>
      <w:r w:rsidRPr="00E52DE0">
        <w:t>s assigned a sample weight</w:t>
      </w:r>
      <w:r w:rsidR="001709F9" w:rsidRPr="00E52DE0">
        <w:t>,</w:t>
      </w:r>
      <w:r w:rsidR="00300D5D" w:rsidRPr="00E52DE0">
        <w:t xml:space="preserve"> which is the </w:t>
      </w:r>
      <w:r w:rsidR="00A45201" w:rsidRPr="00E52DE0">
        <w:t>reciprocal</w:t>
      </w:r>
      <w:r w:rsidR="00300D5D" w:rsidRPr="00E52DE0">
        <w:t xml:space="preserve"> of the probability of selection.  For multi-establishment enterprises, this weight is always 1.0.  For single-establishment </w:t>
      </w:r>
      <w:r w:rsidR="00B06D59" w:rsidRPr="00E52DE0">
        <w:t>enterprises,</w:t>
      </w:r>
      <w:r w:rsidR="00300D5D" w:rsidRPr="00E52DE0">
        <w:t xml:space="preserve"> this weight ranges from 1.0 to 914.</w:t>
      </w:r>
    </w:p>
    <w:p w:rsidR="00290D57" w:rsidRPr="00E52DE0" w:rsidRDefault="00290D57" w:rsidP="00290D57">
      <w:pPr>
        <w:rPr>
          <w:b/>
          <w:sz w:val="24"/>
          <w:szCs w:val="24"/>
        </w:rPr>
      </w:pPr>
      <w:r w:rsidRPr="00E52DE0">
        <w:rPr>
          <w:b/>
          <w:sz w:val="24"/>
          <w:szCs w:val="24"/>
        </w:rPr>
        <w:t>DATA COLLECTION</w:t>
      </w:r>
    </w:p>
    <w:p w:rsidR="00290D57" w:rsidRPr="00E52DE0" w:rsidRDefault="00290D57" w:rsidP="007922A7">
      <w:pPr>
        <w:spacing w:after="0"/>
        <w:rPr>
          <w:rFonts w:eastAsia="Times New Roman" w:cs="Times New Roman"/>
        </w:rPr>
      </w:pPr>
      <w:r w:rsidRPr="00E52DE0">
        <w:rPr>
          <w:rFonts w:eastAsia="Times New Roman" w:cs="Times New Roman"/>
        </w:rPr>
        <w:t xml:space="preserve">Each enterprise selected into the </w:t>
      </w:r>
      <w:r w:rsidR="00DC6C8C" w:rsidRPr="00E52DE0">
        <w:rPr>
          <w:rFonts w:eastAsia="Times New Roman" w:cs="Times New Roman"/>
        </w:rPr>
        <w:t xml:space="preserve">2012 </w:t>
      </w:r>
      <w:r w:rsidRPr="00E52DE0">
        <w:rPr>
          <w:rFonts w:eastAsia="Times New Roman" w:cs="Times New Roman"/>
        </w:rPr>
        <w:t xml:space="preserve">ESP sample was mailed </w:t>
      </w:r>
      <w:r w:rsidR="001709F9" w:rsidRPr="00E52DE0">
        <w:rPr>
          <w:rFonts w:eastAsia="Times New Roman" w:cs="Times New Roman"/>
        </w:rPr>
        <w:t xml:space="preserve">a </w:t>
      </w:r>
      <w:hyperlink r:id="rId28" w:history="1">
        <w:r w:rsidR="001709F9" w:rsidRPr="00E52DE0">
          <w:rPr>
            <w:rStyle w:val="Hyperlink"/>
            <w:rFonts w:eastAsia="Times New Roman" w:cs="Times New Roman"/>
          </w:rPr>
          <w:t>questionnaire</w:t>
        </w:r>
      </w:hyperlink>
      <w:r w:rsidRPr="00E52DE0">
        <w:rPr>
          <w:rFonts w:eastAsia="Times New Roman" w:cs="Times New Roman"/>
        </w:rPr>
        <w:t xml:space="preserve">.  </w:t>
      </w:r>
      <w:r w:rsidR="001B1053" w:rsidRPr="00E52DE0">
        <w:rPr>
          <w:rFonts w:eastAsia="Times New Roman" w:cs="Times New Roman"/>
        </w:rPr>
        <w:t>These</w:t>
      </w:r>
      <w:r w:rsidRPr="00E52DE0">
        <w:rPr>
          <w:rFonts w:eastAsia="Times New Roman" w:cs="Times New Roman"/>
        </w:rPr>
        <w:t xml:space="preserve"> enterprise</w:t>
      </w:r>
      <w:r w:rsidR="001B1053" w:rsidRPr="00E52DE0">
        <w:rPr>
          <w:rFonts w:eastAsia="Times New Roman" w:cs="Times New Roman"/>
        </w:rPr>
        <w:t>s</w:t>
      </w:r>
      <w:r w:rsidRPr="00E52DE0">
        <w:rPr>
          <w:rFonts w:eastAsia="Times New Roman" w:cs="Times New Roman"/>
        </w:rPr>
        <w:t xml:space="preserve"> </w:t>
      </w:r>
      <w:r w:rsidR="001B1053" w:rsidRPr="00E52DE0">
        <w:rPr>
          <w:rFonts w:eastAsia="Times New Roman" w:cs="Times New Roman"/>
        </w:rPr>
        <w:t>were</w:t>
      </w:r>
      <w:r w:rsidRPr="00E52DE0">
        <w:rPr>
          <w:rFonts w:eastAsia="Times New Roman" w:cs="Times New Roman"/>
        </w:rPr>
        <w:t xml:space="preserve"> asked to provide the following information about each of the </w:t>
      </w:r>
      <w:r w:rsidR="00F460AA" w:rsidRPr="00E52DE0">
        <w:rPr>
          <w:rFonts w:eastAsia="Times New Roman" w:cs="Times New Roman"/>
        </w:rPr>
        <w:t>enterprise</w:t>
      </w:r>
      <w:r w:rsidR="00FF2246" w:rsidRPr="00E52DE0">
        <w:rPr>
          <w:rFonts w:eastAsia="Times New Roman" w:cs="Times New Roman"/>
        </w:rPr>
        <w:t>’</w:t>
      </w:r>
      <w:r w:rsidR="00F460AA" w:rsidRPr="00E52DE0">
        <w:rPr>
          <w:rFonts w:eastAsia="Times New Roman" w:cs="Times New Roman"/>
        </w:rPr>
        <w:t>s operations</w:t>
      </w:r>
      <w:r w:rsidRPr="00E52DE0">
        <w:rPr>
          <w:rFonts w:eastAsia="Times New Roman" w:cs="Times New Roman"/>
        </w:rPr>
        <w:t xml:space="preserve">: </w:t>
      </w:r>
    </w:p>
    <w:p w:rsidR="001709F9" w:rsidRPr="00E52DE0" w:rsidRDefault="00F460AA" w:rsidP="001B1053">
      <w:pPr>
        <w:numPr>
          <w:ilvl w:val="0"/>
          <w:numId w:val="11"/>
        </w:numPr>
        <w:tabs>
          <w:tab w:val="clear" w:pos="720"/>
          <w:tab w:val="num" w:pos="360"/>
        </w:tabs>
        <w:spacing w:after="100" w:afterAutospacing="1"/>
        <w:ind w:left="360"/>
        <w:rPr>
          <w:rFonts w:eastAsia="Times New Roman" w:cs="Times New Roman"/>
        </w:rPr>
      </w:pPr>
      <w:r w:rsidRPr="00E52DE0">
        <w:rPr>
          <w:rFonts w:eastAsia="Times New Roman" w:cs="Times New Roman"/>
        </w:rPr>
        <w:t>Foreign ownership</w:t>
      </w:r>
      <w:r w:rsidR="001709F9" w:rsidRPr="00E52DE0">
        <w:rPr>
          <w:rFonts w:eastAsia="Times New Roman" w:cs="Times New Roman"/>
        </w:rPr>
        <w:t xml:space="preserve"> or</w:t>
      </w:r>
      <w:r w:rsidRPr="00E52DE0">
        <w:rPr>
          <w:rFonts w:eastAsia="Times New Roman" w:cs="Times New Roman"/>
        </w:rPr>
        <w:t xml:space="preserve"> control, </w:t>
      </w:r>
    </w:p>
    <w:p w:rsidR="00290D57" w:rsidRPr="00E52DE0" w:rsidRDefault="001709F9" w:rsidP="001B1053">
      <w:pPr>
        <w:numPr>
          <w:ilvl w:val="0"/>
          <w:numId w:val="11"/>
        </w:numPr>
        <w:tabs>
          <w:tab w:val="clear" w:pos="720"/>
          <w:tab w:val="num" w:pos="360"/>
        </w:tabs>
        <w:spacing w:after="100" w:afterAutospacing="1"/>
        <w:ind w:left="360"/>
        <w:rPr>
          <w:rFonts w:eastAsia="Times New Roman" w:cs="Times New Roman"/>
        </w:rPr>
      </w:pPr>
      <w:r w:rsidRPr="00E52DE0">
        <w:rPr>
          <w:rFonts w:eastAsia="Times New Roman" w:cs="Times New Roman"/>
        </w:rPr>
        <w:t>Foreign a</w:t>
      </w:r>
      <w:r w:rsidR="00F460AA" w:rsidRPr="00E52DE0">
        <w:rPr>
          <w:rFonts w:eastAsia="Times New Roman" w:cs="Times New Roman"/>
        </w:rPr>
        <w:t>ffiliation</w:t>
      </w:r>
      <w:r w:rsidRPr="00E52DE0">
        <w:rPr>
          <w:rFonts w:eastAsia="Times New Roman" w:cs="Times New Roman"/>
        </w:rPr>
        <w:t>,</w:t>
      </w:r>
    </w:p>
    <w:p w:rsidR="00290D57" w:rsidRPr="00E52DE0" w:rsidRDefault="00F460AA" w:rsidP="001B1053">
      <w:pPr>
        <w:numPr>
          <w:ilvl w:val="0"/>
          <w:numId w:val="11"/>
        </w:numPr>
        <w:tabs>
          <w:tab w:val="clear" w:pos="720"/>
          <w:tab w:val="num" w:pos="360"/>
        </w:tabs>
        <w:spacing w:before="100" w:beforeAutospacing="1" w:after="100" w:afterAutospacing="1"/>
        <w:ind w:left="360"/>
        <w:rPr>
          <w:rFonts w:eastAsia="Times New Roman" w:cs="Times New Roman"/>
        </w:rPr>
      </w:pPr>
      <w:r w:rsidRPr="00E52DE0">
        <w:rPr>
          <w:rFonts w:eastAsia="Times New Roman" w:cs="Times New Roman"/>
        </w:rPr>
        <w:t>Research and development expenses</w:t>
      </w:r>
      <w:r w:rsidR="001709F9" w:rsidRPr="00E52DE0">
        <w:rPr>
          <w:rFonts w:eastAsia="Times New Roman" w:cs="Times New Roman"/>
        </w:rPr>
        <w:t>,</w:t>
      </w:r>
    </w:p>
    <w:p w:rsidR="00290D57" w:rsidRPr="00E52DE0" w:rsidRDefault="00F460AA" w:rsidP="001B1053">
      <w:pPr>
        <w:numPr>
          <w:ilvl w:val="0"/>
          <w:numId w:val="11"/>
        </w:numPr>
        <w:tabs>
          <w:tab w:val="clear" w:pos="720"/>
          <w:tab w:val="num" w:pos="360"/>
        </w:tabs>
        <w:spacing w:before="100" w:beforeAutospacing="1" w:after="100" w:afterAutospacing="1"/>
        <w:ind w:left="360"/>
        <w:rPr>
          <w:rFonts w:eastAsia="Times New Roman" w:cs="Times New Roman"/>
        </w:rPr>
      </w:pPr>
      <w:r w:rsidRPr="00E52DE0">
        <w:rPr>
          <w:rFonts w:eastAsia="Times New Roman" w:cs="Times New Roman"/>
        </w:rPr>
        <w:t>Operating revenues</w:t>
      </w:r>
      <w:r w:rsidR="001709F9" w:rsidRPr="00E52DE0">
        <w:rPr>
          <w:rFonts w:eastAsia="Times New Roman" w:cs="Times New Roman"/>
        </w:rPr>
        <w:t>,</w:t>
      </w:r>
    </w:p>
    <w:p w:rsidR="00290D57" w:rsidRPr="00E52DE0" w:rsidRDefault="00F460AA" w:rsidP="001B1053">
      <w:pPr>
        <w:numPr>
          <w:ilvl w:val="0"/>
          <w:numId w:val="11"/>
        </w:numPr>
        <w:tabs>
          <w:tab w:val="clear" w:pos="720"/>
          <w:tab w:val="num" w:pos="360"/>
        </w:tabs>
        <w:spacing w:before="100" w:beforeAutospacing="1" w:after="100" w:afterAutospacing="1"/>
        <w:ind w:left="360"/>
        <w:rPr>
          <w:rFonts w:eastAsia="Times New Roman" w:cs="Times New Roman"/>
        </w:rPr>
      </w:pPr>
      <w:r w:rsidRPr="00E52DE0">
        <w:rPr>
          <w:rFonts w:eastAsia="Times New Roman" w:cs="Times New Roman"/>
        </w:rPr>
        <w:t>Royalties and license fees for the use of intellectual property</w:t>
      </w:r>
      <w:r w:rsidR="001709F9" w:rsidRPr="00E52DE0">
        <w:rPr>
          <w:rFonts w:eastAsia="Times New Roman" w:cs="Times New Roman"/>
        </w:rPr>
        <w:t>,</w:t>
      </w:r>
    </w:p>
    <w:p w:rsidR="00290D57" w:rsidRPr="00E52DE0" w:rsidRDefault="00F460AA" w:rsidP="001B1053">
      <w:pPr>
        <w:numPr>
          <w:ilvl w:val="0"/>
          <w:numId w:val="11"/>
        </w:numPr>
        <w:tabs>
          <w:tab w:val="clear" w:pos="720"/>
          <w:tab w:val="num" w:pos="360"/>
        </w:tabs>
        <w:spacing w:before="100" w:beforeAutospacing="1" w:after="100" w:afterAutospacing="1"/>
        <w:ind w:left="360"/>
        <w:rPr>
          <w:rFonts w:eastAsia="Times New Roman" w:cs="Times New Roman"/>
        </w:rPr>
      </w:pPr>
      <w:r w:rsidRPr="00E52DE0">
        <w:rPr>
          <w:rFonts w:eastAsia="Times New Roman" w:cs="Times New Roman"/>
        </w:rPr>
        <w:t>Percentage of revenue from manufacturing operations</w:t>
      </w:r>
      <w:r w:rsidR="001709F9" w:rsidRPr="00E52DE0">
        <w:rPr>
          <w:rFonts w:eastAsia="Times New Roman" w:cs="Times New Roman"/>
        </w:rPr>
        <w:t>, and</w:t>
      </w:r>
    </w:p>
    <w:p w:rsidR="00290D57" w:rsidRDefault="00796741" w:rsidP="001B1053">
      <w:pPr>
        <w:numPr>
          <w:ilvl w:val="0"/>
          <w:numId w:val="11"/>
        </w:numPr>
        <w:tabs>
          <w:tab w:val="clear" w:pos="720"/>
          <w:tab w:val="num" w:pos="360"/>
        </w:tabs>
        <w:spacing w:before="100" w:beforeAutospacing="1" w:after="100" w:afterAutospacing="1"/>
        <w:ind w:left="360"/>
        <w:rPr>
          <w:rFonts w:eastAsia="Times New Roman" w:cs="Times New Roman"/>
        </w:rPr>
      </w:pPr>
      <w:r>
        <w:rPr>
          <w:rFonts w:eastAsia="Times New Roman" w:cs="Times New Roman"/>
        </w:rPr>
        <w:t>C</w:t>
      </w:r>
      <w:r w:rsidR="00F460AA" w:rsidRPr="00E52DE0">
        <w:rPr>
          <w:rFonts w:eastAsia="Times New Roman" w:cs="Times New Roman"/>
        </w:rPr>
        <w:t>ontract manufacturing services</w:t>
      </w:r>
      <w:r w:rsidR="00290D57" w:rsidRPr="00E52DE0">
        <w:rPr>
          <w:rFonts w:eastAsia="Times New Roman" w:cs="Times New Roman"/>
        </w:rPr>
        <w:t>.</w:t>
      </w:r>
    </w:p>
    <w:p w:rsidR="00E51F39" w:rsidRDefault="00796741" w:rsidP="00E51F39">
      <w:pPr>
        <w:spacing w:before="100" w:beforeAutospacing="1" w:after="100" w:afterAutospacing="1"/>
        <w:rPr>
          <w:rFonts w:eastAsia="Times New Roman" w:cs="Times New Roman"/>
        </w:rPr>
      </w:pPr>
      <w:r w:rsidRPr="00796741">
        <w:rPr>
          <w:rFonts w:eastAsia="Times New Roman" w:cs="Times New Roman"/>
        </w:rPr>
        <w:t xml:space="preserve">During data </w:t>
      </w:r>
      <w:r w:rsidR="00B06D59" w:rsidRPr="00796741">
        <w:rPr>
          <w:rFonts w:eastAsia="Times New Roman" w:cs="Times New Roman"/>
        </w:rPr>
        <w:t>collection,</w:t>
      </w:r>
      <w:r w:rsidRPr="00796741">
        <w:rPr>
          <w:rFonts w:eastAsia="Times New Roman" w:cs="Times New Roman"/>
        </w:rPr>
        <w:t xml:space="preserve"> some sampled enterprises were determined to be out-of-scope to the ESP and were dropped from the set of enterprises actually tabulated to produce the estimates.</w:t>
      </w:r>
    </w:p>
    <w:p w:rsidR="002F08E9" w:rsidRPr="00E52DE0" w:rsidRDefault="002F08E9" w:rsidP="00E51F39">
      <w:pPr>
        <w:spacing w:before="100" w:beforeAutospacing="1" w:after="100" w:afterAutospacing="1"/>
        <w:rPr>
          <w:b/>
          <w:sz w:val="24"/>
          <w:szCs w:val="24"/>
        </w:rPr>
      </w:pPr>
      <w:r w:rsidRPr="00E52DE0">
        <w:rPr>
          <w:b/>
          <w:sz w:val="24"/>
          <w:szCs w:val="24"/>
        </w:rPr>
        <w:lastRenderedPageBreak/>
        <w:t>ESTIMATION</w:t>
      </w:r>
    </w:p>
    <w:p w:rsidR="00CA74AB" w:rsidRPr="00E52DE0" w:rsidRDefault="002F08E9" w:rsidP="001B1053">
      <w:pPr>
        <w:rPr>
          <w:rFonts w:eastAsia="Times New Roman" w:cs="Times New Roman"/>
        </w:rPr>
      </w:pPr>
      <w:r w:rsidRPr="00E52DE0">
        <w:rPr>
          <w:rFonts w:eastAsia="Times New Roman" w:cs="Times New Roman"/>
        </w:rPr>
        <w:t xml:space="preserve">Estimated totals (e.g., </w:t>
      </w:r>
      <w:r w:rsidR="00F262BA" w:rsidRPr="00E52DE0">
        <w:rPr>
          <w:rFonts w:eastAsia="Times New Roman" w:cs="Times New Roman"/>
        </w:rPr>
        <w:t>receipts, payroll, etc.</w:t>
      </w:r>
      <w:r w:rsidRPr="00E52DE0">
        <w:rPr>
          <w:rFonts w:eastAsia="Times New Roman" w:cs="Times New Roman"/>
        </w:rPr>
        <w:t>) are produced as the sum of weighted data (reported or imputed)</w:t>
      </w:r>
      <w:r w:rsidR="00BD2BFE" w:rsidRPr="00E52DE0">
        <w:rPr>
          <w:rFonts w:eastAsia="Times New Roman" w:cs="Times New Roman"/>
        </w:rPr>
        <w:t xml:space="preserve"> of the </w:t>
      </w:r>
      <w:r w:rsidR="00DC6C8C" w:rsidRPr="00E52DE0">
        <w:rPr>
          <w:rFonts w:eastAsia="Times New Roman" w:cs="Times New Roman"/>
        </w:rPr>
        <w:t>enterprises</w:t>
      </w:r>
      <w:r w:rsidR="00BD2BFE" w:rsidRPr="00E52DE0">
        <w:rPr>
          <w:rFonts w:eastAsia="Times New Roman" w:cs="Times New Roman"/>
        </w:rPr>
        <w:t xml:space="preserve"> in the particular cell (combination of enterprise characteristics such as NAICS or size) being estimated</w:t>
      </w:r>
      <w:r w:rsidRPr="00E52DE0">
        <w:rPr>
          <w:rFonts w:eastAsia="Times New Roman" w:cs="Times New Roman"/>
        </w:rPr>
        <w:t>.</w:t>
      </w:r>
      <w:r w:rsidR="001B1053" w:rsidRPr="00E52DE0">
        <w:rPr>
          <w:rFonts w:eastAsia="Times New Roman" w:cs="Times New Roman"/>
        </w:rPr>
        <w:t xml:space="preserve">   </w:t>
      </w:r>
    </w:p>
    <w:p w:rsidR="001B1053" w:rsidRPr="00E52DE0" w:rsidRDefault="00B06D59" w:rsidP="00B27771">
      <w:pPr>
        <w:ind w:left="360"/>
        <w:rPr>
          <w:rFonts w:eastAsia="Times New Roman" w:cs="Times New Roman"/>
          <w:sz w:val="28"/>
          <w:szCs w:val="28"/>
        </w:rPr>
      </w:pPr>
      <m:oMathPara>
        <m:oMathParaPr>
          <m:jc m:val="left"/>
        </m:oMathParaPr>
        <m:oMath>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V</m:t>
              </m:r>
            </m:e>
            <m:sub>
              <m:r>
                <w:rPr>
                  <w:rFonts w:ascii="Cambria Math" w:eastAsia="Times New Roman" w:hAnsi="Cambria Math" w:cs="Times New Roman"/>
                  <w:sz w:val="28"/>
                  <w:szCs w:val="28"/>
                </w:rPr>
                <m:t>C</m:t>
              </m:r>
            </m:sub>
          </m:sSub>
          <m:r>
            <w:rPr>
              <w:rFonts w:ascii="Cambria Math" w:eastAsia="Times New Roman" w:hAnsi="Cambria Math" w:cs="Times New Roman"/>
              <w:sz w:val="28"/>
              <w:szCs w:val="28"/>
            </w:rPr>
            <m:t>=</m:t>
          </m:r>
          <m:nary>
            <m:naryPr>
              <m:chr m:val="∑"/>
              <m:limLoc m:val="undOvr"/>
              <m:supHide m:val="1"/>
              <m:ctrlPr>
                <w:rPr>
                  <w:rFonts w:ascii="Cambria Math" w:eastAsia="Times New Roman" w:hAnsi="Cambria Math" w:cs="Times New Roman"/>
                  <w:i/>
                  <w:sz w:val="28"/>
                  <w:szCs w:val="28"/>
                </w:rPr>
              </m:ctrlPr>
            </m:naryPr>
            <m:sub>
              <m:r>
                <w:rPr>
                  <w:rFonts w:ascii="Cambria Math" w:eastAsia="Times New Roman" w:hAnsi="Cambria Math" w:cs="Times New Roman"/>
                  <w:sz w:val="28"/>
                  <w:szCs w:val="28"/>
                </w:rPr>
                <m:t>i∈C</m:t>
              </m:r>
            </m:sub>
            <m:sup/>
            <m:e>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w</m:t>
                  </m:r>
                </m:e>
                <m:sub>
                  <m:r>
                    <w:rPr>
                      <w:rFonts w:ascii="Cambria Math" w:eastAsia="Times New Roman" w:hAnsi="Cambria Math" w:cs="Times New Roman"/>
                      <w:sz w:val="28"/>
                      <w:szCs w:val="28"/>
                    </w:rPr>
                    <m:t>i</m:t>
                  </m:r>
                </m:sub>
              </m:sSub>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v</m:t>
                  </m:r>
                </m:e>
                <m:sub>
                  <m:r>
                    <w:rPr>
                      <w:rFonts w:ascii="Cambria Math" w:eastAsia="Times New Roman" w:hAnsi="Cambria Math" w:cs="Times New Roman"/>
                      <w:sz w:val="28"/>
                      <w:szCs w:val="28"/>
                    </w:rPr>
                    <m:t>i</m:t>
                  </m:r>
                </m:sub>
              </m:sSub>
            </m:e>
          </m:nary>
        </m:oMath>
      </m:oMathPara>
    </w:p>
    <w:p w:rsidR="001B1053" w:rsidRPr="00E52DE0" w:rsidRDefault="00B27771" w:rsidP="00B27771">
      <w:pPr>
        <w:tabs>
          <w:tab w:val="left" w:pos="1080"/>
        </w:tabs>
        <w:spacing w:after="0"/>
        <w:ind w:firstLine="360"/>
        <w:rPr>
          <w:rFonts w:ascii="Times New Roman" w:hAnsi="Times New Roman" w:cs="Times New Roman"/>
          <w:i/>
        </w:rPr>
      </w:pPr>
      <w:r w:rsidRPr="00E52DE0">
        <w:t xml:space="preserve">Where: </w:t>
      </w:r>
      <w:r w:rsidRPr="00E52DE0">
        <w:tab/>
      </w:r>
      <w:r w:rsidR="00BD2BFE" w:rsidRPr="00E52DE0">
        <w:rPr>
          <w:rFonts w:ascii="Times New Roman" w:hAnsi="Times New Roman" w:cs="Times New Roman"/>
          <w:i/>
          <w:sz w:val="28"/>
          <w:szCs w:val="28"/>
        </w:rPr>
        <w:t>V</w:t>
      </w:r>
      <w:r w:rsidRPr="00E52DE0">
        <w:rPr>
          <w:rFonts w:ascii="Times New Roman" w:hAnsi="Times New Roman" w:cs="Times New Roman"/>
          <w:i/>
          <w:sz w:val="28"/>
          <w:szCs w:val="28"/>
          <w:vertAlign w:val="subscript"/>
        </w:rPr>
        <w:t>C</w:t>
      </w:r>
      <w:r w:rsidRPr="00E52DE0">
        <w:rPr>
          <w:rFonts w:ascii="Times New Roman" w:hAnsi="Times New Roman" w:cs="Times New Roman"/>
          <w:i/>
        </w:rPr>
        <w:t xml:space="preserve"> </w:t>
      </w:r>
      <w:r w:rsidRPr="00E52DE0">
        <w:rPr>
          <w:rFonts w:cs="Times New Roman"/>
          <w:i/>
        </w:rPr>
        <w:t xml:space="preserve">= </w:t>
      </w:r>
      <w:r w:rsidRPr="00E52DE0">
        <w:rPr>
          <w:rFonts w:cs="Times New Roman"/>
        </w:rPr>
        <w:t xml:space="preserve">Estimate for </w:t>
      </w:r>
      <w:r w:rsidR="00BD2BFE" w:rsidRPr="00E52DE0">
        <w:rPr>
          <w:rFonts w:cs="Times New Roman"/>
        </w:rPr>
        <w:t>e</w:t>
      </w:r>
      <w:r w:rsidRPr="00E52DE0">
        <w:rPr>
          <w:rFonts w:cs="Times New Roman"/>
        </w:rPr>
        <w:t>stimation cell</w:t>
      </w:r>
      <w:r w:rsidRPr="00E52DE0">
        <w:rPr>
          <w:rFonts w:cs="Times New Roman"/>
          <w:i/>
        </w:rPr>
        <w:t xml:space="preserve"> C</w:t>
      </w:r>
      <w:r w:rsidR="00BD2BFE" w:rsidRPr="00E52DE0">
        <w:rPr>
          <w:rFonts w:cs="Times New Roman"/>
          <w:i/>
        </w:rPr>
        <w:t xml:space="preserve"> </w:t>
      </w:r>
      <w:r w:rsidR="00BD2BFE" w:rsidRPr="00E52DE0">
        <w:rPr>
          <w:rFonts w:cs="Times New Roman"/>
        </w:rPr>
        <w:t>(such as a NAICS code)</w:t>
      </w:r>
    </w:p>
    <w:p w:rsidR="00B27771" w:rsidRPr="00E52DE0" w:rsidRDefault="00BD2BFE" w:rsidP="00B27771">
      <w:pPr>
        <w:tabs>
          <w:tab w:val="left" w:pos="1080"/>
        </w:tabs>
        <w:spacing w:after="0"/>
        <w:ind w:firstLine="360"/>
        <w:rPr>
          <w:rFonts w:ascii="Times New Roman" w:hAnsi="Times New Roman" w:cs="Times New Roman"/>
          <w:i/>
        </w:rPr>
      </w:pPr>
      <w:r w:rsidRPr="00E52DE0">
        <w:rPr>
          <w:rFonts w:ascii="Times New Roman" w:hAnsi="Times New Roman" w:cs="Times New Roman"/>
          <w:i/>
        </w:rPr>
        <w:tab/>
      </w:r>
      <w:r w:rsidR="00B27771" w:rsidRPr="00E52DE0">
        <w:rPr>
          <w:rFonts w:ascii="Times New Roman" w:hAnsi="Times New Roman" w:cs="Times New Roman"/>
          <w:i/>
          <w:sz w:val="28"/>
          <w:szCs w:val="28"/>
        </w:rPr>
        <w:t>w</w:t>
      </w:r>
      <w:r w:rsidR="00B27771" w:rsidRPr="00E52DE0">
        <w:rPr>
          <w:rFonts w:ascii="Times New Roman" w:hAnsi="Times New Roman" w:cs="Times New Roman"/>
          <w:i/>
          <w:sz w:val="28"/>
          <w:szCs w:val="28"/>
          <w:vertAlign w:val="subscript"/>
        </w:rPr>
        <w:t>i</w:t>
      </w:r>
      <w:r w:rsidR="00B27771" w:rsidRPr="00E52DE0">
        <w:rPr>
          <w:rFonts w:ascii="Times New Roman" w:hAnsi="Times New Roman" w:cs="Times New Roman"/>
          <w:i/>
        </w:rPr>
        <w:t xml:space="preserve"> </w:t>
      </w:r>
      <w:r w:rsidR="00B27771" w:rsidRPr="00E52DE0">
        <w:rPr>
          <w:rFonts w:cs="Times New Roman"/>
        </w:rPr>
        <w:t xml:space="preserve">= Sample weight assigned to </w:t>
      </w:r>
      <w:r w:rsidR="00DC6C8C" w:rsidRPr="00E52DE0">
        <w:rPr>
          <w:rFonts w:cs="Times New Roman"/>
        </w:rPr>
        <w:t>enterprise</w:t>
      </w:r>
      <w:r w:rsidR="00B27771" w:rsidRPr="00E52DE0">
        <w:rPr>
          <w:rFonts w:ascii="Times New Roman" w:hAnsi="Times New Roman" w:cs="Times New Roman"/>
          <w:i/>
        </w:rPr>
        <w:t xml:space="preserve"> </w:t>
      </w:r>
      <w:r w:rsidR="00B27771" w:rsidRPr="00E52DE0">
        <w:rPr>
          <w:rFonts w:ascii="Times New Roman" w:hAnsi="Times New Roman" w:cs="Times New Roman"/>
          <w:i/>
          <w:sz w:val="28"/>
          <w:szCs w:val="28"/>
        </w:rPr>
        <w:t>i</w:t>
      </w:r>
    </w:p>
    <w:p w:rsidR="00B27771" w:rsidRPr="00E52DE0" w:rsidRDefault="00B27771" w:rsidP="00B27771">
      <w:pPr>
        <w:tabs>
          <w:tab w:val="left" w:pos="1080"/>
        </w:tabs>
        <w:spacing w:after="0"/>
        <w:ind w:firstLine="360"/>
        <w:rPr>
          <w:rFonts w:ascii="Times New Roman" w:hAnsi="Times New Roman" w:cs="Times New Roman"/>
          <w:i/>
        </w:rPr>
      </w:pPr>
      <w:r w:rsidRPr="00E52DE0">
        <w:rPr>
          <w:rFonts w:ascii="Times New Roman" w:hAnsi="Times New Roman" w:cs="Times New Roman"/>
          <w:i/>
        </w:rPr>
        <w:tab/>
      </w:r>
      <w:r w:rsidRPr="00E52DE0">
        <w:rPr>
          <w:rFonts w:ascii="Times New Roman" w:hAnsi="Times New Roman" w:cs="Times New Roman"/>
          <w:i/>
          <w:sz w:val="28"/>
          <w:szCs w:val="28"/>
        </w:rPr>
        <w:t>v</w:t>
      </w:r>
      <w:r w:rsidRPr="00E52DE0">
        <w:rPr>
          <w:rFonts w:ascii="Times New Roman" w:hAnsi="Times New Roman" w:cs="Times New Roman"/>
          <w:i/>
          <w:sz w:val="28"/>
          <w:szCs w:val="28"/>
          <w:vertAlign w:val="subscript"/>
        </w:rPr>
        <w:t>i</w:t>
      </w:r>
      <w:r w:rsidRPr="00E52DE0">
        <w:rPr>
          <w:rFonts w:ascii="Times New Roman" w:hAnsi="Times New Roman" w:cs="Times New Roman"/>
          <w:i/>
        </w:rPr>
        <w:t xml:space="preserve"> </w:t>
      </w:r>
      <w:r w:rsidRPr="00E52DE0">
        <w:rPr>
          <w:rFonts w:cs="Times New Roman"/>
        </w:rPr>
        <w:t>=</w:t>
      </w:r>
      <w:r w:rsidRPr="00E52DE0">
        <w:rPr>
          <w:rFonts w:cs="Times New Roman"/>
          <w:i/>
        </w:rPr>
        <w:t xml:space="preserve"> </w:t>
      </w:r>
      <w:r w:rsidRPr="00E52DE0">
        <w:rPr>
          <w:rFonts w:cs="Times New Roman"/>
        </w:rPr>
        <w:t xml:space="preserve">The data item (of </w:t>
      </w:r>
      <w:r w:rsidR="00DC6C8C" w:rsidRPr="00E52DE0">
        <w:rPr>
          <w:rFonts w:cs="Times New Roman"/>
        </w:rPr>
        <w:t>enterprise</w:t>
      </w:r>
      <w:r w:rsidRPr="00E52DE0">
        <w:rPr>
          <w:rFonts w:ascii="Times New Roman" w:hAnsi="Times New Roman" w:cs="Times New Roman"/>
          <w:i/>
        </w:rPr>
        <w:t xml:space="preserve"> </w:t>
      </w:r>
      <w:r w:rsidRPr="00E52DE0">
        <w:rPr>
          <w:rFonts w:ascii="Times New Roman" w:hAnsi="Times New Roman" w:cs="Times New Roman"/>
          <w:i/>
          <w:sz w:val="28"/>
          <w:szCs w:val="28"/>
        </w:rPr>
        <w:t>i</w:t>
      </w:r>
      <w:r w:rsidRPr="00E52DE0">
        <w:rPr>
          <w:rFonts w:ascii="Times New Roman" w:hAnsi="Times New Roman" w:cs="Times New Roman"/>
        </w:rPr>
        <w:t>)</w:t>
      </w:r>
      <w:r w:rsidRPr="00E52DE0">
        <w:rPr>
          <w:rFonts w:ascii="Times New Roman" w:hAnsi="Times New Roman" w:cs="Times New Roman"/>
          <w:i/>
        </w:rPr>
        <w:t xml:space="preserve">  </w:t>
      </w:r>
      <w:r w:rsidRPr="00E52DE0">
        <w:rPr>
          <w:rFonts w:cs="Times New Roman"/>
        </w:rPr>
        <w:t>for which an estimate is being produced</w:t>
      </w:r>
    </w:p>
    <w:p w:rsidR="00BD2BFE" w:rsidRPr="00E52DE0" w:rsidRDefault="00BD2BFE" w:rsidP="00D60C52">
      <w:pPr>
        <w:spacing w:after="0"/>
        <w:rPr>
          <w:b/>
        </w:rPr>
      </w:pPr>
    </w:p>
    <w:p w:rsidR="00696A74" w:rsidRPr="00E52DE0" w:rsidRDefault="00696A74" w:rsidP="001B1053">
      <w:pPr>
        <w:rPr>
          <w:b/>
        </w:rPr>
      </w:pPr>
      <w:r w:rsidRPr="00E52DE0">
        <w:rPr>
          <w:b/>
        </w:rPr>
        <w:t>Basis of Reporting</w:t>
      </w:r>
    </w:p>
    <w:p w:rsidR="00696A74" w:rsidRPr="00E52DE0" w:rsidRDefault="00696A74" w:rsidP="001B1053">
      <w:r w:rsidRPr="00E52DE0">
        <w:t xml:space="preserve">Enterprise Statistics data are tabulated at the enterprise level </w:t>
      </w:r>
      <w:r w:rsidR="00A863D6" w:rsidRPr="00E52DE0">
        <w:t xml:space="preserve">using data </w:t>
      </w:r>
      <w:r w:rsidR="00F75015">
        <w:t>obtained from</w:t>
      </w:r>
      <w:r w:rsidR="00A863D6" w:rsidRPr="00E52DE0">
        <w:t xml:space="preserve"> </w:t>
      </w:r>
      <w:r w:rsidRPr="00E52DE0">
        <w:t>the Report of Organization Survey (COS)</w:t>
      </w:r>
      <w:r w:rsidR="00A863D6" w:rsidRPr="00E52DE0">
        <w:t xml:space="preserve">, the 2012 Economic Census, </w:t>
      </w:r>
      <w:r w:rsidR="00F23204" w:rsidRPr="00E52DE0">
        <w:t xml:space="preserve">Statistics of U.S. Business (SUSB), </w:t>
      </w:r>
      <w:r w:rsidR="00A863D6" w:rsidRPr="00E52DE0">
        <w:t xml:space="preserve">and </w:t>
      </w:r>
      <w:r w:rsidR="007B2338" w:rsidRPr="00E52DE0">
        <w:t>County Business Patterns (CBP)</w:t>
      </w:r>
      <w:r w:rsidRPr="00E52DE0">
        <w:t xml:space="preserve">. Data are collected from each </w:t>
      </w:r>
      <w:r w:rsidR="00F23204" w:rsidRPr="00E52DE0">
        <w:t>enterprise</w:t>
      </w:r>
      <w:r w:rsidRPr="00E52DE0">
        <w:t xml:space="preserve"> with U.S. operations (located in the 50 states an</w:t>
      </w:r>
      <w:r w:rsidR="00F23204" w:rsidRPr="00E52DE0">
        <w:t xml:space="preserve">d the District of Columbia).  </w:t>
      </w:r>
      <w:r w:rsidR="007951E1" w:rsidRPr="00E52DE0">
        <w:t xml:space="preserve">In some of these programs, data are collected at the business establishment level and are consolidated to the enterprise level for use </w:t>
      </w:r>
      <w:r w:rsidR="00DC6C8C" w:rsidRPr="00E52DE0">
        <w:t>by</w:t>
      </w:r>
      <w:r w:rsidR="007951E1" w:rsidRPr="00E52DE0">
        <w:t xml:space="preserve"> ESP.  Enterprises with foreign operations or operations in Puerto Rico and other U.S. territories are instructed to exclude those data from their reports.</w:t>
      </w:r>
    </w:p>
    <w:p w:rsidR="0061273E" w:rsidRPr="00E52DE0" w:rsidRDefault="0061273E" w:rsidP="001B1053">
      <w:pPr>
        <w:rPr>
          <w:b/>
        </w:rPr>
      </w:pPr>
      <w:r w:rsidRPr="00E52DE0">
        <w:rPr>
          <w:b/>
        </w:rPr>
        <w:t>Level of Geographic Detail</w:t>
      </w:r>
    </w:p>
    <w:p w:rsidR="00DA2480" w:rsidRPr="00E52DE0" w:rsidRDefault="00DA2480" w:rsidP="001B1053">
      <w:r w:rsidRPr="00E52DE0">
        <w:t xml:space="preserve">Establishments for an enterprise can be located in more than one state or other level of geography. As a result, </w:t>
      </w:r>
      <w:r w:rsidRPr="00A32A4E">
        <w:t>enterprise statistics are not shown</w:t>
      </w:r>
      <w:r w:rsidRPr="00E52DE0">
        <w:t xml:space="preserve"> below the U.S. level.</w:t>
      </w:r>
    </w:p>
    <w:p w:rsidR="00216BA7" w:rsidRPr="00E52DE0" w:rsidRDefault="00216BA7" w:rsidP="001B1053">
      <w:pPr>
        <w:rPr>
          <w:b/>
          <w:caps/>
          <w:sz w:val="24"/>
          <w:szCs w:val="24"/>
        </w:rPr>
      </w:pPr>
      <w:r w:rsidRPr="00E52DE0">
        <w:rPr>
          <w:b/>
          <w:caps/>
          <w:sz w:val="24"/>
          <w:szCs w:val="24"/>
        </w:rPr>
        <w:t>Reliability of the Estimates</w:t>
      </w:r>
    </w:p>
    <w:p w:rsidR="00216BA7" w:rsidRPr="00E52DE0" w:rsidRDefault="00216BA7" w:rsidP="00BD2BFE">
      <w:r w:rsidRPr="00E52DE0">
        <w:t>The published estimates may differ from the actual, but unknown, population values. For a particular estimate, statisticians define this difference as the total error of the estimate. When describing the accuracy of survey results, it is convenient to discuss total error as the sum of sampling error and non</w:t>
      </w:r>
      <w:r w:rsidR="004F5972" w:rsidRPr="00E52DE0">
        <w:t>-</w:t>
      </w:r>
      <w:r w:rsidRPr="00E52DE0">
        <w:t>sampling error. Sampling error is the error arising from the use of a sample, rather than a census, to estimate population values. Non</w:t>
      </w:r>
      <w:r w:rsidR="004F5972" w:rsidRPr="00E52DE0">
        <w:t>-</w:t>
      </w:r>
      <w:r w:rsidRPr="00E52DE0">
        <w:t>sampling error encompasses all other factors that contribute to the total error of a sample survey estimate. The sampling error of an estimate can usually be estimated from the sample; whereas, the non</w:t>
      </w:r>
      <w:r w:rsidR="004F5972" w:rsidRPr="00E52DE0">
        <w:t>-</w:t>
      </w:r>
      <w:r w:rsidRPr="00E52DE0">
        <w:t>sampling error of an estimate is difficult to measure and can rarely be estimated. Data users should take into account the estimates of sampling error and the potential effects of non</w:t>
      </w:r>
      <w:r w:rsidR="004F5972" w:rsidRPr="00E52DE0">
        <w:t>-</w:t>
      </w:r>
      <w:r w:rsidRPr="00E52DE0">
        <w:t>sampling error when using the published estimates.</w:t>
      </w:r>
    </w:p>
    <w:p w:rsidR="00992A9F" w:rsidRPr="00E52DE0" w:rsidRDefault="00992A9F" w:rsidP="00BD2BFE">
      <w:pPr>
        <w:spacing w:before="100" w:beforeAutospacing="1" w:after="100" w:afterAutospacing="1"/>
        <w:rPr>
          <w:rFonts w:eastAsia="Times New Roman" w:cs="Times New Roman"/>
        </w:rPr>
      </w:pPr>
      <w:r w:rsidRPr="00E52DE0">
        <w:rPr>
          <w:rFonts w:eastAsia="Times New Roman" w:cs="Times New Roman"/>
        </w:rPr>
        <w:t xml:space="preserve">The sampling error of the estimates in this publication can be estimated from the selected sample because the sample was selected using probability sampling. Common measures related to sampling error are the sampling variance, the standard error, and the relative standard error (RSE) or coefficient </w:t>
      </w:r>
      <w:r w:rsidRPr="00E52DE0">
        <w:rPr>
          <w:rFonts w:eastAsia="Times New Roman" w:cs="Times New Roman"/>
        </w:rPr>
        <w:lastRenderedPageBreak/>
        <w:t xml:space="preserve">of variation (CV). The sampling variance is the squared difference, averaged over all possible samples of the same size and design, between the estimator and its average value. The standard error is the square root of the sampling variance. The </w:t>
      </w:r>
      <w:r w:rsidR="00DC6C8C" w:rsidRPr="00E52DE0">
        <w:rPr>
          <w:rFonts w:eastAsia="Times New Roman" w:cs="Times New Roman"/>
        </w:rPr>
        <w:t xml:space="preserve">CV and </w:t>
      </w:r>
      <w:r w:rsidRPr="00E52DE0">
        <w:rPr>
          <w:rFonts w:eastAsia="Times New Roman" w:cs="Times New Roman"/>
        </w:rPr>
        <w:t>RSE express the standard error as a percentage of the estimate to which it refers.</w:t>
      </w:r>
    </w:p>
    <w:p w:rsidR="00992A9F" w:rsidRPr="00E52DE0" w:rsidRDefault="00992A9F" w:rsidP="00BD2BFE">
      <w:pPr>
        <w:spacing w:before="100" w:beforeAutospacing="1" w:after="100" w:afterAutospacing="1"/>
        <w:rPr>
          <w:rFonts w:eastAsia="Times New Roman" w:cs="Times New Roman"/>
        </w:rPr>
      </w:pPr>
      <w:r w:rsidRPr="00E52DE0">
        <w:rPr>
          <w:rFonts w:eastAsia="Times New Roman" w:cs="Times New Roman"/>
        </w:rPr>
        <w:t xml:space="preserve">Non-sampling errors are difficult to measure and can be introduced through inadequacies in the questionnaire, non-response, inaccurate reporting by respondents, errors in the application of survey procedures, incorrect recording of answers, and errors in data entry and processing. In conducting the 2012 ESP, every effort has been made to minimize the effect of non-sampling errors on the estimates. </w:t>
      </w:r>
    </w:p>
    <w:p w:rsidR="00696A74" w:rsidRPr="00E52DE0" w:rsidRDefault="00696A74" w:rsidP="00696A74">
      <w:pPr>
        <w:rPr>
          <w:b/>
          <w:caps/>
          <w:sz w:val="24"/>
          <w:szCs w:val="24"/>
        </w:rPr>
      </w:pPr>
      <w:r w:rsidRPr="00E52DE0">
        <w:rPr>
          <w:b/>
          <w:caps/>
          <w:sz w:val="24"/>
          <w:szCs w:val="24"/>
        </w:rPr>
        <w:t>Sampling Error</w:t>
      </w:r>
    </w:p>
    <w:p w:rsidR="00EE671C" w:rsidRPr="00E52DE0" w:rsidRDefault="00696A74" w:rsidP="00BD2BFE">
      <w:pPr>
        <w:spacing w:before="100" w:beforeAutospacing="1" w:after="100" w:afterAutospacing="1"/>
        <w:rPr>
          <w:rFonts w:eastAsia="Times New Roman" w:cs="Times New Roman"/>
        </w:rPr>
      </w:pPr>
      <w:r w:rsidRPr="00E52DE0">
        <w:t>Sampling error occurs because data are requested from a sample instead of a complete enumeration of establishments in the population. The sample selected for each sector is one of many probability samples that could have been selected under identical circumstances. Each of the possible samples would yield a different set of estimates. Common measures of the variability among these estimates are the sampling variance, the standard error, and the relative standard error (RSE)</w:t>
      </w:r>
      <w:r w:rsidR="00DC6C8C" w:rsidRPr="00E52DE0">
        <w:t xml:space="preserve"> or coefficient of variation (CV)</w:t>
      </w:r>
      <w:r w:rsidRPr="00E52DE0">
        <w:t xml:space="preserve">. A relative standard error is an expression of the standard error as a percent of the quantity being estimated. </w:t>
      </w:r>
      <w:r w:rsidR="00EE671C" w:rsidRPr="00E52DE0">
        <w:rPr>
          <w:rFonts w:eastAsia="Times New Roman" w:cs="Times New Roman"/>
        </w:rPr>
        <w:t>It is important to note that the standard error only measures sampling variability. It does not measure systematic biases of the sample. The Census Bureau recommends that individuals using estimates contained in this report incorporate this information into their analyses, as sampling error could affect the conclusions drawn from these estimates.</w:t>
      </w:r>
    </w:p>
    <w:p w:rsidR="00216BA7" w:rsidRPr="00E52DE0" w:rsidRDefault="00216BA7" w:rsidP="00BD2BFE">
      <w:pPr>
        <w:spacing w:before="100" w:beforeAutospacing="1" w:after="100" w:afterAutospacing="1"/>
        <w:rPr>
          <w:rFonts w:eastAsia="Times New Roman" w:cs="Times New Roman"/>
          <w:color w:val="000000" w:themeColor="text1"/>
        </w:rPr>
      </w:pPr>
      <w:r w:rsidRPr="00E52DE0">
        <w:rPr>
          <w:rFonts w:eastAsia="Times New Roman" w:cs="Times New Roman"/>
          <w:color w:val="000000" w:themeColor="text1"/>
        </w:rPr>
        <w:t>An estimate from a particular sample and the standard error associated with the estimate can be used to construct a confidence interval. A confidence interval is a range about a given estimator that has a specified probability of containing the result of a complete enumeration of the sampling frame conducted under the same survey conditions. Associated with each interval is a percentage of confidence, which is interpreted as follows. If, for each possible sample, an estimate of a population parameter and its approximate standard error were obtained, then:</w:t>
      </w:r>
    </w:p>
    <w:p w:rsidR="00216BA7" w:rsidRPr="00367366" w:rsidRDefault="00216BA7" w:rsidP="00367366">
      <w:pPr>
        <w:numPr>
          <w:ilvl w:val="0"/>
          <w:numId w:val="10"/>
        </w:numPr>
        <w:tabs>
          <w:tab w:val="clear" w:pos="630"/>
          <w:tab w:val="num" w:pos="360"/>
        </w:tabs>
        <w:spacing w:before="100" w:beforeAutospacing="1" w:after="100" w:afterAutospacing="1"/>
        <w:ind w:left="360"/>
        <w:rPr>
          <w:rFonts w:eastAsia="Times New Roman" w:cs="Times New Roman"/>
          <w:color w:val="000000" w:themeColor="text1"/>
        </w:rPr>
      </w:pPr>
      <w:r w:rsidRPr="00E52DE0">
        <w:rPr>
          <w:rFonts w:eastAsia="Times New Roman" w:cs="Times New Roman"/>
          <w:color w:val="000000" w:themeColor="text1"/>
        </w:rPr>
        <w:t>For approximately 90 percent of the possible samples, the interval from 1.</w:t>
      </w:r>
      <w:r w:rsidR="0009065F" w:rsidRPr="00E52DE0">
        <w:rPr>
          <w:rFonts w:eastAsia="Times New Roman" w:cs="Times New Roman"/>
          <w:color w:val="000000" w:themeColor="text1"/>
        </w:rPr>
        <w:t>645</w:t>
      </w:r>
      <w:r w:rsidRPr="00E52DE0">
        <w:rPr>
          <w:rFonts w:eastAsia="Times New Roman" w:cs="Times New Roman"/>
          <w:color w:val="000000" w:themeColor="text1"/>
        </w:rPr>
        <w:t xml:space="preserve"> standard errors belo</w:t>
      </w:r>
      <w:r w:rsidRPr="00367366">
        <w:rPr>
          <w:rFonts w:eastAsia="Times New Roman" w:cs="Times New Roman"/>
          <w:color w:val="000000" w:themeColor="text1"/>
        </w:rPr>
        <w:t>w to 1.</w:t>
      </w:r>
      <w:r w:rsidR="0009065F" w:rsidRPr="00367366">
        <w:rPr>
          <w:rFonts w:eastAsia="Times New Roman" w:cs="Times New Roman"/>
          <w:color w:val="000000" w:themeColor="text1"/>
        </w:rPr>
        <w:t>645</w:t>
      </w:r>
      <w:r w:rsidRPr="00367366">
        <w:rPr>
          <w:rFonts w:eastAsia="Times New Roman" w:cs="Times New Roman"/>
          <w:color w:val="000000" w:themeColor="text1"/>
        </w:rPr>
        <w:t xml:space="preserve"> standard errors above the estimate would include the result as obtained from a complete enumeration of the sampling frame conducted under the same survey conditions.</w:t>
      </w:r>
    </w:p>
    <w:p w:rsidR="00216BA7" w:rsidRPr="00E52DE0" w:rsidRDefault="00216BA7" w:rsidP="00CA1C0C">
      <w:pPr>
        <w:numPr>
          <w:ilvl w:val="0"/>
          <w:numId w:val="10"/>
        </w:numPr>
        <w:tabs>
          <w:tab w:val="clear" w:pos="630"/>
          <w:tab w:val="num" w:pos="360"/>
        </w:tabs>
        <w:spacing w:before="100" w:beforeAutospacing="1" w:after="100" w:afterAutospacing="1"/>
        <w:ind w:left="360"/>
        <w:rPr>
          <w:rFonts w:eastAsia="Times New Roman" w:cs="Times New Roman"/>
          <w:b/>
          <w:color w:val="000000" w:themeColor="text1"/>
        </w:rPr>
      </w:pPr>
      <w:r w:rsidRPr="00E52DE0">
        <w:rPr>
          <w:rFonts w:eastAsia="Times New Roman" w:cs="Times New Roman"/>
          <w:color w:val="000000" w:themeColor="text1"/>
        </w:rPr>
        <w:t xml:space="preserve">For approximately 95 percent of the possible samples, the interval from </w:t>
      </w:r>
      <w:r w:rsidR="0009065F" w:rsidRPr="00E52DE0">
        <w:rPr>
          <w:rFonts w:eastAsia="Times New Roman" w:cs="Times New Roman"/>
          <w:color w:val="000000" w:themeColor="text1"/>
        </w:rPr>
        <w:t>1.960</w:t>
      </w:r>
      <w:r w:rsidRPr="00E52DE0">
        <w:rPr>
          <w:rFonts w:eastAsia="Times New Roman" w:cs="Times New Roman"/>
          <w:color w:val="000000" w:themeColor="text1"/>
        </w:rPr>
        <w:t xml:space="preserve"> standard errors below to </w:t>
      </w:r>
      <w:r w:rsidR="0009065F" w:rsidRPr="00E52DE0">
        <w:rPr>
          <w:rFonts w:eastAsia="Times New Roman" w:cs="Times New Roman"/>
          <w:color w:val="000000" w:themeColor="text1"/>
        </w:rPr>
        <w:t>1.96</w:t>
      </w:r>
      <w:r w:rsidRPr="00E52DE0">
        <w:rPr>
          <w:rFonts w:eastAsia="Times New Roman" w:cs="Times New Roman"/>
          <w:color w:val="000000" w:themeColor="text1"/>
        </w:rPr>
        <w:t xml:space="preserve"> standard errors above the estimate would include the result as obtained from a complete enumeration of the sampling frame conducted under the same survey conditions.  </w:t>
      </w:r>
      <w:r w:rsidRPr="00E52DE0">
        <w:rPr>
          <w:rStyle w:val="Strong"/>
          <w:rFonts w:ascii="Calibri" w:hAnsi="Calibri"/>
          <w:b w:val="0"/>
          <w:color w:val="000000" w:themeColor="text1"/>
        </w:rPr>
        <w:t>The 1.</w:t>
      </w:r>
      <w:r w:rsidR="0009065F" w:rsidRPr="00E52DE0">
        <w:rPr>
          <w:rStyle w:val="Strong"/>
          <w:rFonts w:ascii="Calibri" w:hAnsi="Calibri"/>
          <w:b w:val="0"/>
          <w:color w:val="000000" w:themeColor="text1"/>
        </w:rPr>
        <w:t>645</w:t>
      </w:r>
      <w:r w:rsidRPr="00E52DE0">
        <w:rPr>
          <w:rStyle w:val="Strong"/>
          <w:rFonts w:ascii="Calibri" w:hAnsi="Calibri"/>
          <w:b w:val="0"/>
          <w:color w:val="000000" w:themeColor="text1"/>
        </w:rPr>
        <w:t xml:space="preserve"> and </w:t>
      </w:r>
      <w:r w:rsidR="0009065F" w:rsidRPr="00E52DE0">
        <w:rPr>
          <w:rStyle w:val="Strong"/>
          <w:rFonts w:ascii="Calibri" w:hAnsi="Calibri"/>
          <w:b w:val="0"/>
          <w:color w:val="000000" w:themeColor="text1"/>
        </w:rPr>
        <w:t>1.960</w:t>
      </w:r>
      <w:r w:rsidRPr="00E52DE0">
        <w:rPr>
          <w:rStyle w:val="Strong"/>
          <w:rFonts w:ascii="Calibri" w:hAnsi="Calibri"/>
          <w:b w:val="0"/>
          <w:color w:val="000000" w:themeColor="text1"/>
        </w:rPr>
        <w:t xml:space="preserve"> values, used to compute the 90% and 95% confidence intervals, are taken from the </w:t>
      </w:r>
      <w:r w:rsidR="0009065F" w:rsidRPr="00E52DE0">
        <w:rPr>
          <w:rStyle w:val="Strong"/>
          <w:rFonts w:ascii="Calibri" w:hAnsi="Calibri"/>
          <w:b w:val="0"/>
          <w:color w:val="000000" w:themeColor="text1"/>
        </w:rPr>
        <w:t xml:space="preserve">normal distribution and assumes that there are many contributing enterprises to the estimate.  For computing confidence intervals for estimates with few contributing enterprises, the t-distribution with N – 1 </w:t>
      </w:r>
      <w:r w:rsidRPr="00E52DE0">
        <w:rPr>
          <w:rStyle w:val="Strong"/>
          <w:rFonts w:ascii="Calibri" w:hAnsi="Calibri"/>
          <w:b w:val="0"/>
          <w:color w:val="000000" w:themeColor="text1"/>
        </w:rPr>
        <w:t>degrees of freedom</w:t>
      </w:r>
      <w:r w:rsidR="0009065F" w:rsidRPr="00E52DE0">
        <w:rPr>
          <w:rStyle w:val="Strong"/>
          <w:rFonts w:ascii="Calibri" w:hAnsi="Calibri"/>
          <w:b w:val="0"/>
          <w:color w:val="000000" w:themeColor="text1"/>
        </w:rPr>
        <w:t xml:space="preserve"> should be used, where N is the number of enterprises contributing to the particular estimate</w:t>
      </w:r>
      <w:r w:rsidRPr="00E52DE0">
        <w:rPr>
          <w:rStyle w:val="Strong"/>
          <w:rFonts w:ascii="Calibri" w:hAnsi="Calibri"/>
          <w:b w:val="0"/>
          <w:color w:val="000000" w:themeColor="text1"/>
        </w:rPr>
        <w:t xml:space="preserve">.  </w:t>
      </w:r>
    </w:p>
    <w:p w:rsidR="00216BA7" w:rsidRPr="00E52DE0" w:rsidRDefault="00216BA7" w:rsidP="00BD2BFE">
      <w:pPr>
        <w:spacing w:before="100" w:beforeAutospacing="1" w:after="100" w:afterAutospacing="1"/>
        <w:rPr>
          <w:rFonts w:eastAsia="Times New Roman" w:cs="Times New Roman"/>
          <w:color w:val="000000" w:themeColor="text1"/>
        </w:rPr>
      </w:pPr>
      <w:r w:rsidRPr="00E52DE0">
        <w:rPr>
          <w:rFonts w:eastAsia="Times New Roman" w:cs="Times New Roman"/>
          <w:color w:val="000000" w:themeColor="text1"/>
        </w:rPr>
        <w:lastRenderedPageBreak/>
        <w:t xml:space="preserve">To illustrate the computation of a confidence interval for an estimate of receipts, assume that an estimate of receipts is $10,750 million and the relative standard error (RSE) for this estimate is 1.8 percent, or 0.018. </w:t>
      </w:r>
      <w:r w:rsidR="00C96D79" w:rsidRPr="00E52DE0">
        <w:rPr>
          <w:rFonts w:eastAsia="Times New Roman" w:cs="Times New Roman"/>
          <w:color w:val="000000" w:themeColor="text1"/>
        </w:rPr>
        <w:t>First,</w:t>
      </w:r>
      <w:r w:rsidRPr="00E52DE0">
        <w:rPr>
          <w:rFonts w:eastAsia="Times New Roman" w:cs="Times New Roman"/>
          <w:color w:val="000000" w:themeColor="text1"/>
        </w:rPr>
        <w:t xml:space="preserve"> obtain the standard error of the estimate by multiplying the receipts estimate by its RSE. For this example, multiply $10,750 million by 0.018. This yields a standard error of $193.5 million. The upper and lower bounds of the 90-percent confidence interval are computed as</w:t>
      </w:r>
      <w:r w:rsidR="0009065F" w:rsidRPr="00E52DE0">
        <w:rPr>
          <w:rFonts w:eastAsia="Times New Roman" w:cs="Times New Roman"/>
          <w:color w:val="000000" w:themeColor="text1"/>
        </w:rPr>
        <w:t xml:space="preserve"> $10,750 million plus or minus 1</w:t>
      </w:r>
      <w:r w:rsidRPr="00E52DE0">
        <w:rPr>
          <w:rFonts w:eastAsia="Times New Roman" w:cs="Times New Roman"/>
          <w:color w:val="000000" w:themeColor="text1"/>
        </w:rPr>
        <w:t>.</w:t>
      </w:r>
      <w:r w:rsidR="0009065F" w:rsidRPr="00E52DE0">
        <w:rPr>
          <w:rFonts w:eastAsia="Times New Roman" w:cs="Times New Roman"/>
          <w:color w:val="000000" w:themeColor="text1"/>
        </w:rPr>
        <w:t>645</w:t>
      </w:r>
      <w:r w:rsidRPr="00E52DE0">
        <w:rPr>
          <w:rFonts w:eastAsia="Times New Roman" w:cs="Times New Roman"/>
          <w:color w:val="000000" w:themeColor="text1"/>
        </w:rPr>
        <w:t xml:space="preserve"> times $193.5 million or $3</w:t>
      </w:r>
      <w:r w:rsidR="0009065F" w:rsidRPr="00E52DE0">
        <w:rPr>
          <w:rFonts w:eastAsia="Times New Roman" w:cs="Times New Roman"/>
          <w:color w:val="000000" w:themeColor="text1"/>
        </w:rPr>
        <w:t>18.3</w:t>
      </w:r>
      <w:r w:rsidRPr="00E52DE0">
        <w:rPr>
          <w:rFonts w:eastAsia="Times New Roman" w:cs="Times New Roman"/>
          <w:color w:val="000000" w:themeColor="text1"/>
        </w:rPr>
        <w:t xml:space="preserve"> million. Consequently, the 90-percent confidence interval for this receipts estimate is $10,</w:t>
      </w:r>
      <w:r w:rsidR="001670C9" w:rsidRPr="00E52DE0">
        <w:rPr>
          <w:rFonts w:eastAsia="Times New Roman" w:cs="Times New Roman"/>
          <w:color w:val="000000" w:themeColor="text1"/>
        </w:rPr>
        <w:t>432</w:t>
      </w:r>
      <w:r w:rsidRPr="00E52DE0">
        <w:rPr>
          <w:rFonts w:eastAsia="Times New Roman" w:cs="Times New Roman"/>
          <w:color w:val="000000" w:themeColor="text1"/>
        </w:rPr>
        <w:t xml:space="preserve"> million to $11,</w:t>
      </w:r>
      <w:r w:rsidR="001670C9" w:rsidRPr="00E52DE0">
        <w:rPr>
          <w:rFonts w:eastAsia="Times New Roman" w:cs="Times New Roman"/>
          <w:color w:val="000000" w:themeColor="text1"/>
        </w:rPr>
        <w:t>068</w:t>
      </w:r>
      <w:r w:rsidRPr="00E52DE0">
        <w:rPr>
          <w:rFonts w:eastAsia="Times New Roman" w:cs="Times New Roman"/>
          <w:color w:val="000000" w:themeColor="text1"/>
        </w:rPr>
        <w:t xml:space="preserve"> million. If corresponding confidence intervals were constructed for all possible samples of the same size and design, approximately 9 out of 10 (90 percent) of these intervals would contain the result obtained from a complete enumeration.</w:t>
      </w:r>
    </w:p>
    <w:p w:rsidR="00696A74" w:rsidRPr="00E52DE0" w:rsidRDefault="00696A74" w:rsidP="00696A74">
      <w:pPr>
        <w:rPr>
          <w:b/>
          <w:caps/>
          <w:sz w:val="24"/>
          <w:szCs w:val="24"/>
        </w:rPr>
      </w:pPr>
      <w:r w:rsidRPr="00E52DE0">
        <w:rPr>
          <w:b/>
          <w:caps/>
          <w:sz w:val="24"/>
          <w:szCs w:val="24"/>
        </w:rPr>
        <w:t>Non</w:t>
      </w:r>
      <w:r w:rsidR="00564D32" w:rsidRPr="00E52DE0">
        <w:rPr>
          <w:b/>
          <w:caps/>
          <w:sz w:val="24"/>
          <w:szCs w:val="24"/>
        </w:rPr>
        <w:t>-</w:t>
      </w:r>
      <w:r w:rsidRPr="00E52DE0">
        <w:rPr>
          <w:b/>
          <w:caps/>
          <w:sz w:val="24"/>
          <w:szCs w:val="24"/>
        </w:rPr>
        <w:t>sampling Error</w:t>
      </w:r>
    </w:p>
    <w:p w:rsidR="002F08E9" w:rsidRPr="00E52DE0" w:rsidRDefault="002F08E9" w:rsidP="002F08E9">
      <w:pPr>
        <w:rPr>
          <w:rFonts w:eastAsia="Times New Roman" w:cs="Times New Roman"/>
        </w:rPr>
      </w:pPr>
      <w:r w:rsidRPr="00E52DE0">
        <w:rPr>
          <w:rFonts w:eastAsia="Times New Roman" w:cs="Times New Roman"/>
        </w:rPr>
        <w:t>Non</w:t>
      </w:r>
      <w:r w:rsidR="00564D32" w:rsidRPr="00E52DE0">
        <w:rPr>
          <w:rFonts w:eastAsia="Times New Roman" w:cs="Times New Roman"/>
        </w:rPr>
        <w:t>-</w:t>
      </w:r>
      <w:r w:rsidRPr="00E52DE0">
        <w:rPr>
          <w:rFonts w:eastAsia="Times New Roman" w:cs="Times New Roman"/>
        </w:rPr>
        <w:t>sampling error encompasses all other factors that contribute to the total error of a sample survey estimate and may also occur in censuses. It is often helpful to think of non</w:t>
      </w:r>
      <w:r w:rsidR="00564D32" w:rsidRPr="00E52DE0">
        <w:rPr>
          <w:rFonts w:eastAsia="Times New Roman" w:cs="Times New Roman"/>
        </w:rPr>
        <w:t>-</w:t>
      </w:r>
      <w:r w:rsidRPr="00E52DE0">
        <w:rPr>
          <w:rFonts w:eastAsia="Times New Roman" w:cs="Times New Roman"/>
        </w:rPr>
        <w:t>sampling error as arising from deficiencies or mistakes in the survey process. In the ESP, non</w:t>
      </w:r>
      <w:r w:rsidR="00564D32" w:rsidRPr="00E52DE0">
        <w:rPr>
          <w:rFonts w:eastAsia="Times New Roman" w:cs="Times New Roman"/>
        </w:rPr>
        <w:t>-</w:t>
      </w:r>
      <w:r w:rsidRPr="00E52DE0">
        <w:rPr>
          <w:rFonts w:eastAsia="Times New Roman" w:cs="Times New Roman"/>
        </w:rPr>
        <w:t>sampling error can be attributed to many sources:</w:t>
      </w:r>
    </w:p>
    <w:p w:rsidR="00696A74" w:rsidRPr="00E52DE0" w:rsidRDefault="002F08E9" w:rsidP="002F08E9">
      <w:pPr>
        <w:pStyle w:val="ListParagraph"/>
        <w:numPr>
          <w:ilvl w:val="0"/>
          <w:numId w:val="1"/>
        </w:numPr>
      </w:pPr>
      <w:r w:rsidRPr="00E52DE0">
        <w:t>I</w:t>
      </w:r>
      <w:r w:rsidR="00696A74" w:rsidRPr="00E52DE0">
        <w:t>nability to identify a</w:t>
      </w:r>
      <w:r w:rsidR="001709F9" w:rsidRPr="00E52DE0">
        <w:t>ll cases in the actual universe,</w:t>
      </w:r>
    </w:p>
    <w:p w:rsidR="00696A74" w:rsidRPr="00E52DE0" w:rsidRDefault="00F03342" w:rsidP="00696A74">
      <w:pPr>
        <w:pStyle w:val="ListParagraph"/>
        <w:numPr>
          <w:ilvl w:val="0"/>
          <w:numId w:val="1"/>
        </w:numPr>
      </w:pPr>
      <w:r w:rsidRPr="00E52DE0">
        <w:t>D</w:t>
      </w:r>
      <w:r w:rsidR="00696A74" w:rsidRPr="00E52DE0">
        <w:t xml:space="preserve">efinition </w:t>
      </w:r>
      <w:r w:rsidR="001709F9" w:rsidRPr="00E52DE0">
        <w:t>and classification difficulties,</w:t>
      </w:r>
    </w:p>
    <w:p w:rsidR="00696A74" w:rsidRPr="00E52DE0" w:rsidRDefault="00F03342" w:rsidP="00696A74">
      <w:pPr>
        <w:pStyle w:val="ListParagraph"/>
        <w:numPr>
          <w:ilvl w:val="0"/>
          <w:numId w:val="1"/>
        </w:numPr>
      </w:pPr>
      <w:r w:rsidRPr="00E52DE0">
        <w:t>D</w:t>
      </w:r>
      <w:r w:rsidR="00696A74" w:rsidRPr="00E52DE0">
        <w:t>ifferences in the interpretation of question</w:t>
      </w:r>
      <w:r w:rsidR="001709F9" w:rsidRPr="00E52DE0">
        <w:t>s,</w:t>
      </w:r>
    </w:p>
    <w:p w:rsidR="00696A74" w:rsidRPr="00E52DE0" w:rsidRDefault="00F03342" w:rsidP="00696A74">
      <w:pPr>
        <w:pStyle w:val="ListParagraph"/>
        <w:numPr>
          <w:ilvl w:val="0"/>
          <w:numId w:val="1"/>
        </w:numPr>
      </w:pPr>
      <w:r w:rsidRPr="00E52DE0">
        <w:t>E</w:t>
      </w:r>
      <w:r w:rsidR="00696A74" w:rsidRPr="00E52DE0">
        <w:t>rrors in recording or coding the data obtained</w:t>
      </w:r>
      <w:r w:rsidR="002F08E9" w:rsidRPr="00E52DE0">
        <w:t>,</w:t>
      </w:r>
      <w:r w:rsidR="00696A74" w:rsidRPr="00E52DE0">
        <w:t xml:space="preserve"> and</w:t>
      </w:r>
    </w:p>
    <w:p w:rsidR="00696A74" w:rsidRPr="00E52DE0" w:rsidRDefault="00F03342" w:rsidP="00696A74">
      <w:pPr>
        <w:pStyle w:val="ListParagraph"/>
        <w:numPr>
          <w:ilvl w:val="0"/>
          <w:numId w:val="1"/>
        </w:numPr>
      </w:pPr>
      <w:r w:rsidRPr="00E52DE0">
        <w:t>O</w:t>
      </w:r>
      <w:r w:rsidR="00696A74" w:rsidRPr="00E52DE0">
        <w:t>ther errors of collection, response, coverage, processing and estimation for missing or misreported data.</w:t>
      </w:r>
    </w:p>
    <w:p w:rsidR="001174C2" w:rsidRPr="00E52DE0" w:rsidRDefault="001174C2" w:rsidP="001174C2">
      <w:pPr>
        <w:spacing w:before="100" w:beforeAutospacing="1" w:after="100" w:afterAutospacing="1"/>
        <w:rPr>
          <w:rFonts w:eastAsia="Times New Roman" w:cs="Times New Roman"/>
        </w:rPr>
      </w:pPr>
      <w:r w:rsidRPr="00E52DE0">
        <w:rPr>
          <w:rFonts w:eastAsia="Times New Roman" w:cs="Times New Roman"/>
        </w:rPr>
        <w:t>Although no direct measurement of the potential biases due to non</w:t>
      </w:r>
      <w:r w:rsidR="00564D32" w:rsidRPr="00E52DE0">
        <w:rPr>
          <w:rFonts w:eastAsia="Times New Roman" w:cs="Times New Roman"/>
        </w:rPr>
        <w:t>-</w:t>
      </w:r>
      <w:r w:rsidRPr="00E52DE0">
        <w:rPr>
          <w:rFonts w:eastAsia="Times New Roman" w:cs="Times New Roman"/>
        </w:rPr>
        <w:t>sampling error has been obtained, precautionary steps were taken in all phases of the collection, processing, and tabulation of the data in an effort to minimize their influence. The Census Bureau recommends that individuals using estimates in this report incorporate this information into their analyses, as non</w:t>
      </w:r>
      <w:r w:rsidR="00564D32" w:rsidRPr="00E52DE0">
        <w:rPr>
          <w:rFonts w:eastAsia="Times New Roman" w:cs="Times New Roman"/>
        </w:rPr>
        <w:t>-</w:t>
      </w:r>
      <w:r w:rsidRPr="00E52DE0">
        <w:rPr>
          <w:rFonts w:eastAsia="Times New Roman" w:cs="Times New Roman"/>
        </w:rPr>
        <w:t>sampling error could affect the conclusions drawn from these estimates.</w:t>
      </w:r>
    </w:p>
    <w:p w:rsidR="00B91DED" w:rsidRPr="00E52DE0" w:rsidRDefault="00B91DED" w:rsidP="00B91DED">
      <w:pPr>
        <w:spacing w:before="100" w:beforeAutospacing="1" w:after="100" w:afterAutospacing="1"/>
        <w:rPr>
          <w:rFonts w:eastAsia="Times New Roman" w:cs="Times New Roman"/>
          <w:b/>
        </w:rPr>
      </w:pPr>
      <w:r w:rsidRPr="00E52DE0">
        <w:rPr>
          <w:rFonts w:eastAsia="Times New Roman" w:cs="Times New Roman"/>
          <w:b/>
        </w:rPr>
        <w:t>Nonresponse</w:t>
      </w:r>
    </w:p>
    <w:p w:rsidR="004A4E5D" w:rsidRPr="00E52DE0" w:rsidRDefault="00B91DED" w:rsidP="00C877B6">
      <w:pPr>
        <w:spacing w:before="100" w:beforeAutospacing="1" w:after="0"/>
        <w:rPr>
          <w:rFonts w:eastAsia="Times New Roman" w:cs="Times New Roman"/>
        </w:rPr>
      </w:pPr>
      <w:r w:rsidRPr="00E52DE0">
        <w:rPr>
          <w:rFonts w:eastAsia="Times New Roman" w:cs="Times New Roman"/>
        </w:rPr>
        <w:t xml:space="preserve">A potential source of bias in the estimates is nonresponse. Nonresponse is defined as the inability to obtain all the intended measurements or responses from all units in the sample. </w:t>
      </w:r>
      <w:r w:rsidR="004A4E5D" w:rsidRPr="00E52DE0">
        <w:rPr>
          <w:rFonts w:eastAsia="Times New Roman" w:cs="Times New Roman"/>
        </w:rPr>
        <w:t>This may result when:</w:t>
      </w:r>
    </w:p>
    <w:p w:rsidR="004A4E5D" w:rsidRPr="00E52DE0" w:rsidRDefault="004A4E5D" w:rsidP="00C877B6">
      <w:pPr>
        <w:pStyle w:val="ListParagraph"/>
        <w:numPr>
          <w:ilvl w:val="0"/>
          <w:numId w:val="9"/>
        </w:numPr>
        <w:spacing w:after="100" w:afterAutospacing="1"/>
        <w:ind w:left="360"/>
        <w:rPr>
          <w:rFonts w:eastAsia="Times New Roman" w:cs="Times New Roman"/>
        </w:rPr>
      </w:pPr>
      <w:r w:rsidRPr="00E52DE0">
        <w:rPr>
          <w:rFonts w:eastAsia="Times New Roman" w:cs="Times New Roman"/>
        </w:rPr>
        <w:t xml:space="preserve">A particular question (in a returned questionnaire) is left unanswered or the </w:t>
      </w:r>
      <w:r w:rsidR="00564D32" w:rsidRPr="00E52DE0">
        <w:rPr>
          <w:rFonts w:eastAsia="Times New Roman" w:cs="Times New Roman"/>
        </w:rPr>
        <w:t xml:space="preserve">reported </w:t>
      </w:r>
      <w:r w:rsidRPr="00E52DE0">
        <w:rPr>
          <w:rFonts w:eastAsia="Times New Roman" w:cs="Times New Roman"/>
        </w:rPr>
        <w:t>response to the question fails computer or analyst edits, or</w:t>
      </w:r>
    </w:p>
    <w:p w:rsidR="004A4E5D" w:rsidRPr="00E52DE0" w:rsidRDefault="004A4E5D" w:rsidP="00C877B6">
      <w:pPr>
        <w:pStyle w:val="ListParagraph"/>
        <w:numPr>
          <w:ilvl w:val="0"/>
          <w:numId w:val="9"/>
        </w:numPr>
        <w:spacing w:before="100" w:beforeAutospacing="1" w:after="100" w:afterAutospacing="1"/>
        <w:ind w:left="360"/>
        <w:rPr>
          <w:rFonts w:eastAsia="Times New Roman" w:cs="Times New Roman"/>
        </w:rPr>
      </w:pPr>
      <w:r w:rsidRPr="00E52DE0">
        <w:rPr>
          <w:rFonts w:eastAsia="Times New Roman" w:cs="Times New Roman"/>
        </w:rPr>
        <w:t>The entire questionnaire is not returned</w:t>
      </w:r>
      <w:r w:rsidR="00C877B6" w:rsidRPr="00E52DE0">
        <w:rPr>
          <w:rFonts w:eastAsia="Times New Roman" w:cs="Times New Roman"/>
        </w:rPr>
        <w:t xml:space="preserve"> (complete nonresponse)</w:t>
      </w:r>
      <w:r w:rsidR="00867739" w:rsidRPr="00E52DE0">
        <w:rPr>
          <w:rFonts w:eastAsia="Times New Roman" w:cs="Times New Roman"/>
        </w:rPr>
        <w:t>.</w:t>
      </w:r>
    </w:p>
    <w:p w:rsidR="004A4E5D" w:rsidRPr="00E52DE0" w:rsidRDefault="004A4E5D" w:rsidP="00C877B6">
      <w:pPr>
        <w:spacing w:before="100" w:beforeAutospacing="1" w:after="0"/>
        <w:rPr>
          <w:rFonts w:eastAsia="Times New Roman" w:cs="Times New Roman"/>
        </w:rPr>
      </w:pPr>
      <w:r w:rsidRPr="00E52DE0">
        <w:rPr>
          <w:rFonts w:eastAsia="Times New Roman" w:cs="Times New Roman"/>
        </w:rPr>
        <w:t xml:space="preserve">The method for handling non-response depends on the particular data item that was not reported (or reported incorrectly).  These data items are:  </w:t>
      </w:r>
    </w:p>
    <w:p w:rsidR="004A4E5D" w:rsidRPr="00E52DE0" w:rsidRDefault="004A4E5D" w:rsidP="00C877B6">
      <w:pPr>
        <w:pStyle w:val="ListParagraph"/>
        <w:numPr>
          <w:ilvl w:val="0"/>
          <w:numId w:val="7"/>
        </w:numPr>
        <w:tabs>
          <w:tab w:val="clear" w:pos="720"/>
          <w:tab w:val="num" w:pos="360"/>
        </w:tabs>
        <w:spacing w:after="100" w:afterAutospacing="1"/>
        <w:ind w:left="360"/>
        <w:rPr>
          <w:rFonts w:eastAsia="Times New Roman" w:cs="Times New Roman"/>
        </w:rPr>
      </w:pPr>
      <w:r w:rsidRPr="00E52DE0">
        <w:rPr>
          <w:rFonts w:eastAsia="Times New Roman" w:cs="Times New Roman"/>
        </w:rPr>
        <w:t>Receipts</w:t>
      </w:r>
    </w:p>
    <w:p w:rsidR="00B91DED" w:rsidRPr="00E52DE0" w:rsidRDefault="004A4E5D" w:rsidP="009D5AC0">
      <w:pPr>
        <w:pStyle w:val="ListParagraph"/>
        <w:numPr>
          <w:ilvl w:val="0"/>
          <w:numId w:val="7"/>
        </w:numPr>
        <w:tabs>
          <w:tab w:val="clear" w:pos="720"/>
          <w:tab w:val="num" w:pos="360"/>
        </w:tabs>
        <w:spacing w:before="100" w:beforeAutospacing="1" w:after="100" w:afterAutospacing="1"/>
        <w:ind w:left="360"/>
        <w:rPr>
          <w:rFonts w:eastAsia="Times New Roman" w:cs="Times New Roman"/>
        </w:rPr>
      </w:pPr>
      <w:r w:rsidRPr="00E52DE0">
        <w:rPr>
          <w:rFonts w:eastAsia="Times New Roman" w:cs="Times New Roman"/>
        </w:rPr>
        <w:lastRenderedPageBreak/>
        <w:t>All other data items</w:t>
      </w:r>
      <w:r w:rsidR="005D0C05" w:rsidRPr="00E52DE0">
        <w:rPr>
          <w:rFonts w:eastAsia="Times New Roman" w:cs="Times New Roman"/>
        </w:rPr>
        <w:t xml:space="preserve"> (such as </w:t>
      </w:r>
      <w:r w:rsidR="001709F9" w:rsidRPr="00E52DE0">
        <w:rPr>
          <w:rFonts w:eastAsia="Times New Roman" w:cs="Times New Roman"/>
        </w:rPr>
        <w:t>revenue from royalties and license fees, research and development expenses</w:t>
      </w:r>
      <w:r w:rsidR="00C877B6" w:rsidRPr="00E52DE0">
        <w:rPr>
          <w:rFonts w:eastAsia="Times New Roman" w:cs="Times New Roman"/>
        </w:rPr>
        <w:t>, etc.</w:t>
      </w:r>
      <w:r w:rsidR="005D0C05" w:rsidRPr="00E52DE0">
        <w:rPr>
          <w:rFonts w:eastAsia="Times New Roman" w:cs="Times New Roman"/>
        </w:rPr>
        <w:t>)</w:t>
      </w:r>
    </w:p>
    <w:p w:rsidR="00C80B35" w:rsidRPr="00E52DE0" w:rsidRDefault="00B91DED" w:rsidP="00C80B35">
      <w:pPr>
        <w:spacing w:before="100" w:beforeAutospacing="1" w:after="100" w:afterAutospacing="1"/>
        <w:rPr>
          <w:rFonts w:eastAsia="Times New Roman" w:cs="Times New Roman"/>
        </w:rPr>
      </w:pPr>
      <w:r w:rsidRPr="00E52DE0">
        <w:rPr>
          <w:rFonts w:eastAsia="Times New Roman" w:cs="Times New Roman"/>
        </w:rPr>
        <w:t xml:space="preserve">Nonresponse to the receipts questions </w:t>
      </w:r>
      <w:r w:rsidR="00B43ADD" w:rsidRPr="00E52DE0">
        <w:rPr>
          <w:rFonts w:eastAsia="Times New Roman" w:cs="Times New Roman"/>
        </w:rPr>
        <w:t>is</w:t>
      </w:r>
      <w:r w:rsidRPr="00E52DE0">
        <w:rPr>
          <w:rFonts w:eastAsia="Times New Roman" w:cs="Times New Roman"/>
        </w:rPr>
        <w:t xml:space="preserve"> corrected by imputation, which is the procedure by which a missing </w:t>
      </w:r>
      <w:r w:rsidR="00867739" w:rsidRPr="00E52DE0">
        <w:rPr>
          <w:rFonts w:eastAsia="Times New Roman" w:cs="Times New Roman"/>
        </w:rPr>
        <w:t xml:space="preserve">value </w:t>
      </w:r>
      <w:r w:rsidR="00C63539" w:rsidRPr="00E52DE0">
        <w:rPr>
          <w:rFonts w:eastAsia="Times New Roman" w:cs="Times New Roman"/>
        </w:rPr>
        <w:t>(</w:t>
      </w:r>
      <w:r w:rsidR="00867739" w:rsidRPr="00E52DE0">
        <w:rPr>
          <w:rFonts w:eastAsia="Times New Roman" w:cs="Times New Roman"/>
        </w:rPr>
        <w:t>or response that failed edits</w:t>
      </w:r>
      <w:r w:rsidR="00C63539" w:rsidRPr="00E52DE0">
        <w:rPr>
          <w:rFonts w:eastAsia="Times New Roman" w:cs="Times New Roman"/>
        </w:rPr>
        <w:t>)</w:t>
      </w:r>
      <w:r w:rsidRPr="00E52DE0">
        <w:rPr>
          <w:rFonts w:eastAsia="Times New Roman" w:cs="Times New Roman"/>
        </w:rPr>
        <w:t xml:space="preserve"> is replaced by a </w:t>
      </w:r>
      <w:r w:rsidR="005D0C05" w:rsidRPr="00E52DE0">
        <w:rPr>
          <w:rFonts w:eastAsia="Times New Roman" w:cs="Times New Roman"/>
        </w:rPr>
        <w:t xml:space="preserve">comparable value </w:t>
      </w:r>
      <w:r w:rsidR="00C80B35" w:rsidRPr="00E52DE0">
        <w:rPr>
          <w:rFonts w:eastAsia="Times New Roman" w:cs="Times New Roman"/>
        </w:rPr>
        <w:t xml:space="preserve">obtained from analyst research or from the </w:t>
      </w:r>
      <w:r w:rsidR="00E638C2" w:rsidRPr="00E52DE0">
        <w:rPr>
          <w:rFonts w:eastAsia="Times New Roman" w:cs="Times New Roman"/>
        </w:rPr>
        <w:t>Statistics</w:t>
      </w:r>
      <w:r w:rsidR="009D5AC0" w:rsidRPr="00E52DE0">
        <w:rPr>
          <w:rFonts w:eastAsia="Times New Roman" w:cs="Times New Roman"/>
        </w:rPr>
        <w:t xml:space="preserve"> of U</w:t>
      </w:r>
      <w:r w:rsidR="00D95CF8" w:rsidRPr="00E52DE0">
        <w:rPr>
          <w:rFonts w:eastAsia="Times New Roman" w:cs="Times New Roman"/>
        </w:rPr>
        <w:t>.</w:t>
      </w:r>
      <w:r w:rsidR="009D5AC0" w:rsidRPr="00E52DE0">
        <w:rPr>
          <w:rFonts w:eastAsia="Times New Roman" w:cs="Times New Roman"/>
        </w:rPr>
        <w:t>S</w:t>
      </w:r>
      <w:r w:rsidR="00D95CF8" w:rsidRPr="00E52DE0">
        <w:rPr>
          <w:rFonts w:eastAsia="Times New Roman" w:cs="Times New Roman"/>
        </w:rPr>
        <w:t>.</w:t>
      </w:r>
      <w:r w:rsidR="009D5AC0" w:rsidRPr="00E52DE0">
        <w:rPr>
          <w:rFonts w:eastAsia="Times New Roman" w:cs="Times New Roman"/>
        </w:rPr>
        <w:t xml:space="preserve"> Business</w:t>
      </w:r>
      <w:r w:rsidR="00E638C2" w:rsidRPr="00E52DE0">
        <w:rPr>
          <w:rFonts w:eastAsia="Times New Roman" w:cs="Times New Roman"/>
        </w:rPr>
        <w:t>es</w:t>
      </w:r>
      <w:r w:rsidR="009D5AC0" w:rsidRPr="00E52DE0">
        <w:rPr>
          <w:rFonts w:eastAsia="Times New Roman" w:cs="Times New Roman"/>
        </w:rPr>
        <w:t xml:space="preserve"> (which may have obtained its </w:t>
      </w:r>
      <w:r w:rsidR="00E638C2" w:rsidRPr="00E52DE0">
        <w:rPr>
          <w:rFonts w:eastAsia="Times New Roman" w:cs="Times New Roman"/>
        </w:rPr>
        <w:t xml:space="preserve">receipts </w:t>
      </w:r>
      <w:r w:rsidR="009D5AC0" w:rsidRPr="00E52DE0">
        <w:rPr>
          <w:rFonts w:eastAsia="Times New Roman" w:cs="Times New Roman"/>
        </w:rPr>
        <w:t xml:space="preserve">data from the 2012 </w:t>
      </w:r>
      <w:r w:rsidR="00C80B35" w:rsidRPr="00E52DE0">
        <w:rPr>
          <w:rFonts w:eastAsia="Times New Roman" w:cs="Times New Roman"/>
        </w:rPr>
        <w:t>Economic Census</w:t>
      </w:r>
      <w:r w:rsidR="009D5AC0" w:rsidRPr="00E52DE0">
        <w:rPr>
          <w:rFonts w:eastAsia="Times New Roman" w:cs="Times New Roman"/>
        </w:rPr>
        <w:t>)</w:t>
      </w:r>
      <w:r w:rsidR="00C80B35" w:rsidRPr="00E52DE0">
        <w:rPr>
          <w:rFonts w:eastAsia="Times New Roman" w:cs="Times New Roman"/>
        </w:rPr>
        <w:t xml:space="preserve">.  In some </w:t>
      </w:r>
      <w:r w:rsidR="00C96D79" w:rsidRPr="00E52DE0">
        <w:rPr>
          <w:rFonts w:eastAsia="Times New Roman" w:cs="Times New Roman"/>
        </w:rPr>
        <w:t>cases,</w:t>
      </w:r>
      <w:r w:rsidR="00C80B35" w:rsidRPr="00E52DE0">
        <w:rPr>
          <w:rFonts w:eastAsia="Times New Roman" w:cs="Times New Roman"/>
        </w:rPr>
        <w:t xml:space="preserve"> analysts are able to obtain enterprise receipts data from published sources such as company annual reports.  If these are not available then the establishment receipts data collected by the 2012 Economic Census are consolidated to the enterprise level </w:t>
      </w:r>
      <w:r w:rsidR="00E638C2" w:rsidRPr="00E52DE0">
        <w:rPr>
          <w:rFonts w:eastAsia="Times New Roman" w:cs="Times New Roman"/>
        </w:rPr>
        <w:t>in the Statistics of U</w:t>
      </w:r>
      <w:r w:rsidR="00D95CF8" w:rsidRPr="00E52DE0">
        <w:rPr>
          <w:rFonts w:eastAsia="Times New Roman" w:cs="Times New Roman"/>
        </w:rPr>
        <w:t>.</w:t>
      </w:r>
      <w:r w:rsidR="00E638C2" w:rsidRPr="00E52DE0">
        <w:rPr>
          <w:rFonts w:eastAsia="Times New Roman" w:cs="Times New Roman"/>
        </w:rPr>
        <w:t>S</w:t>
      </w:r>
      <w:r w:rsidR="00D95CF8" w:rsidRPr="00E52DE0">
        <w:rPr>
          <w:rFonts w:eastAsia="Times New Roman" w:cs="Times New Roman"/>
        </w:rPr>
        <w:t>.</w:t>
      </w:r>
      <w:r w:rsidR="00E638C2" w:rsidRPr="00E52DE0">
        <w:rPr>
          <w:rFonts w:eastAsia="Times New Roman" w:cs="Times New Roman"/>
        </w:rPr>
        <w:t xml:space="preserve"> Businesses </w:t>
      </w:r>
      <w:r w:rsidR="00C80B35" w:rsidRPr="00E52DE0">
        <w:rPr>
          <w:rFonts w:eastAsia="Times New Roman" w:cs="Times New Roman"/>
        </w:rPr>
        <w:t xml:space="preserve">and substituted for the missing or unacceptable receipts value. </w:t>
      </w:r>
      <w:r w:rsidR="00D95CF8" w:rsidRPr="00E52DE0">
        <w:rPr>
          <w:rFonts w:eastAsia="Times New Roman" w:cs="Times New Roman"/>
        </w:rPr>
        <w:t xml:space="preserve"> Note that </w:t>
      </w:r>
      <w:r w:rsidR="00D95CF8" w:rsidRPr="00E52DE0">
        <w:t>Statistics of U.S. Businesses sums the receipts of the establishment</w:t>
      </w:r>
      <w:r w:rsidR="00FF2246" w:rsidRPr="00E52DE0">
        <w:t>s</w:t>
      </w:r>
      <w:r w:rsidR="00D95CF8" w:rsidRPr="00E52DE0">
        <w:t xml:space="preserve"> that make up the company.  This may result in some duplication of receipts for large multi-establishment enterprises</w:t>
      </w:r>
      <w:r w:rsidR="00FF2246" w:rsidRPr="00E52DE0">
        <w:t xml:space="preserve"> as the </w:t>
      </w:r>
      <w:r w:rsidR="00AE5E9C" w:rsidRPr="00E52DE0">
        <w:t xml:space="preserve">establishment data includes the value of transfers within an enterprise.  </w:t>
      </w:r>
      <w:r w:rsidR="00FF2246" w:rsidRPr="00E52DE0">
        <w:t xml:space="preserve"> </w:t>
      </w:r>
      <w:r w:rsidR="00AE5E9C" w:rsidRPr="00E52DE0">
        <w:t xml:space="preserve">For example, if a manufacturing establishment ships products to a wholesale establishment in the same company, the manufacturing establishment will report the value of these shipments </w:t>
      </w:r>
      <w:r w:rsidR="0066682B" w:rsidRPr="00E52DE0">
        <w:t>to</w:t>
      </w:r>
      <w:r w:rsidR="00AE5E9C" w:rsidRPr="00E52DE0">
        <w:t xml:space="preserve"> the Economic Census.  When the wholesale establishment sells these products, it will report the value of the sales.  Simply summing the value of the shipments of the manufacturing establishment and the sales of wholesaling establishment will be counting the </w:t>
      </w:r>
      <w:r w:rsidR="0066682B" w:rsidRPr="00E52DE0">
        <w:t>value</w:t>
      </w:r>
      <w:r w:rsidR="00AE5E9C" w:rsidRPr="00E52DE0">
        <w:t xml:space="preserve"> of the same product twice.  At the enterprise level, it is only the sale to a final customer that counts as enterprise receipts.</w:t>
      </w:r>
    </w:p>
    <w:p w:rsidR="00B91DED" w:rsidRPr="00E52DE0" w:rsidRDefault="00B43ADD" w:rsidP="00B91DED">
      <w:pPr>
        <w:spacing w:before="100" w:beforeAutospacing="1" w:after="100" w:afterAutospacing="1"/>
        <w:rPr>
          <w:rFonts w:eastAsia="Times New Roman" w:cs="Times New Roman"/>
        </w:rPr>
      </w:pPr>
      <w:r w:rsidRPr="00E52DE0">
        <w:rPr>
          <w:rFonts w:eastAsia="Times New Roman" w:cs="Times New Roman"/>
        </w:rPr>
        <w:t xml:space="preserve">For all other variables on the ESP </w:t>
      </w:r>
      <w:r w:rsidR="00F03342" w:rsidRPr="00E52DE0">
        <w:rPr>
          <w:rFonts w:eastAsia="Times New Roman" w:cs="Times New Roman"/>
        </w:rPr>
        <w:t>questionnaire,</w:t>
      </w:r>
      <w:r w:rsidR="005D0C05" w:rsidRPr="00E52DE0">
        <w:rPr>
          <w:rFonts w:eastAsia="Times New Roman" w:cs="Times New Roman"/>
        </w:rPr>
        <w:t xml:space="preserve"> no attempt was made to impute a value.  For these data items, t</w:t>
      </w:r>
      <w:r w:rsidRPr="00E52DE0">
        <w:rPr>
          <w:rFonts w:eastAsia="Times New Roman" w:cs="Times New Roman"/>
        </w:rPr>
        <w:t xml:space="preserve">he number of </w:t>
      </w:r>
      <w:r w:rsidR="00F03342" w:rsidRPr="00E52DE0">
        <w:rPr>
          <w:rFonts w:eastAsia="Times New Roman" w:cs="Times New Roman"/>
        </w:rPr>
        <w:t>enterprises</w:t>
      </w:r>
      <w:r w:rsidRPr="00E52DE0">
        <w:rPr>
          <w:rFonts w:eastAsia="Times New Roman" w:cs="Times New Roman"/>
        </w:rPr>
        <w:t xml:space="preserve"> </w:t>
      </w:r>
      <w:r w:rsidR="00564D32" w:rsidRPr="00E52DE0">
        <w:rPr>
          <w:rFonts w:eastAsia="Times New Roman" w:cs="Times New Roman"/>
        </w:rPr>
        <w:t xml:space="preserve">that failed to </w:t>
      </w:r>
      <w:r w:rsidR="00867739" w:rsidRPr="00E52DE0">
        <w:rPr>
          <w:rFonts w:eastAsia="Times New Roman" w:cs="Times New Roman"/>
        </w:rPr>
        <w:t>respond</w:t>
      </w:r>
      <w:r w:rsidR="00564D32" w:rsidRPr="00E52DE0">
        <w:rPr>
          <w:rFonts w:eastAsia="Times New Roman" w:cs="Times New Roman"/>
        </w:rPr>
        <w:t xml:space="preserve"> to the question </w:t>
      </w:r>
      <w:r w:rsidRPr="00E52DE0">
        <w:rPr>
          <w:rFonts w:eastAsia="Times New Roman" w:cs="Times New Roman"/>
        </w:rPr>
        <w:t xml:space="preserve">and their </w:t>
      </w:r>
      <w:r w:rsidR="00867739" w:rsidRPr="00E52DE0">
        <w:rPr>
          <w:rFonts w:eastAsia="Times New Roman" w:cs="Times New Roman"/>
        </w:rPr>
        <w:t xml:space="preserve">associated total </w:t>
      </w:r>
      <w:r w:rsidRPr="00E52DE0">
        <w:rPr>
          <w:rFonts w:eastAsia="Times New Roman" w:cs="Times New Roman"/>
        </w:rPr>
        <w:t xml:space="preserve">receipts are reported in the appropriate tables.  </w:t>
      </w:r>
    </w:p>
    <w:p w:rsidR="00162EBF" w:rsidRPr="00E52DE0" w:rsidRDefault="00162EBF" w:rsidP="00162EBF">
      <w:pPr>
        <w:rPr>
          <w:b/>
        </w:rPr>
      </w:pPr>
      <w:r w:rsidRPr="00E52DE0">
        <w:rPr>
          <w:b/>
        </w:rPr>
        <w:t>Response Rates</w:t>
      </w:r>
      <w:r w:rsidR="00B224C0" w:rsidRPr="00E52DE0">
        <w:rPr>
          <w:b/>
        </w:rPr>
        <w:t xml:space="preserve"> - Receipts</w:t>
      </w:r>
    </w:p>
    <w:p w:rsidR="00162EBF" w:rsidRPr="00E52DE0" w:rsidRDefault="00162EBF" w:rsidP="00162EBF">
      <w:r w:rsidRPr="00E52DE0">
        <w:t>The ESP produces two different response rates: a unit response rate and a total quantity (or item) response rate</w:t>
      </w:r>
      <w:r w:rsidR="00B224C0" w:rsidRPr="00E52DE0">
        <w:t xml:space="preserve"> for receipts</w:t>
      </w:r>
      <w:r w:rsidRPr="00E52DE0">
        <w:t xml:space="preserve">.  These are shown in </w:t>
      </w:r>
      <w:r w:rsidR="00B247D1">
        <w:t>t</w:t>
      </w:r>
      <w:r w:rsidRPr="00E52DE0">
        <w:t xml:space="preserve">able </w:t>
      </w:r>
      <w:r w:rsidR="00B247D1">
        <w:t>4</w:t>
      </w:r>
      <w:r w:rsidRPr="00E52DE0">
        <w:t xml:space="preserve"> at the total and sector levels.  </w:t>
      </w:r>
    </w:p>
    <w:p w:rsidR="00545B00" w:rsidRDefault="00545B00">
      <w:pPr>
        <w:rPr>
          <w:b/>
          <w:i/>
        </w:rPr>
      </w:pPr>
      <w:r>
        <w:rPr>
          <w:b/>
          <w:i/>
        </w:rPr>
        <w:br w:type="page"/>
      </w:r>
    </w:p>
    <w:p w:rsidR="00162EBF" w:rsidRPr="00E52DE0" w:rsidRDefault="00B925B4" w:rsidP="007922A7">
      <w:pPr>
        <w:pStyle w:val="ListParagraph"/>
        <w:ind w:hanging="450"/>
        <w:rPr>
          <w:b/>
          <w:i/>
        </w:rPr>
      </w:pPr>
      <w:r w:rsidRPr="00E52DE0">
        <w:rPr>
          <w:b/>
          <w:i/>
        </w:rPr>
        <w:lastRenderedPageBreak/>
        <w:t xml:space="preserve">Table 4: </w:t>
      </w:r>
      <w:r w:rsidR="00162EBF" w:rsidRPr="00E52DE0">
        <w:rPr>
          <w:b/>
          <w:i/>
        </w:rPr>
        <w:t>2012 ESP Response Rates</w:t>
      </w:r>
    </w:p>
    <w:tbl>
      <w:tblPr>
        <w:tblStyle w:val="TableGrid"/>
        <w:tblW w:w="8280" w:type="dxa"/>
        <w:tblInd w:w="378" w:type="dxa"/>
        <w:tblLayout w:type="fixed"/>
        <w:tblLook w:val="04A0" w:firstRow="1" w:lastRow="0" w:firstColumn="1" w:lastColumn="0" w:noHBand="0" w:noVBand="1"/>
      </w:tblPr>
      <w:tblGrid>
        <w:gridCol w:w="810"/>
        <w:gridCol w:w="4860"/>
        <w:gridCol w:w="990"/>
        <w:gridCol w:w="1620"/>
      </w:tblGrid>
      <w:tr w:rsidR="00162EBF" w:rsidRPr="00E52DE0" w:rsidTr="007922A7">
        <w:trPr>
          <w:tblHeader/>
        </w:trPr>
        <w:tc>
          <w:tcPr>
            <w:tcW w:w="810" w:type="dxa"/>
            <w:tcBorders>
              <w:top w:val="single" w:sz="4" w:space="0" w:color="auto"/>
              <w:bottom w:val="double" w:sz="4" w:space="0" w:color="auto"/>
            </w:tcBorders>
            <w:shd w:val="clear" w:color="auto" w:fill="D9D9D9" w:themeFill="background1" w:themeFillShade="D9"/>
          </w:tcPr>
          <w:p w:rsidR="00162EBF" w:rsidRPr="00E52DE0" w:rsidRDefault="00162EBF" w:rsidP="00F03342">
            <w:pPr>
              <w:pStyle w:val="ListParagraph"/>
              <w:ind w:left="0"/>
              <w:jc w:val="center"/>
              <w:rPr>
                <w:b/>
              </w:rPr>
            </w:pPr>
            <w:r w:rsidRPr="00E52DE0">
              <w:rPr>
                <w:b/>
              </w:rPr>
              <w:t>Sector</w:t>
            </w:r>
          </w:p>
        </w:tc>
        <w:tc>
          <w:tcPr>
            <w:tcW w:w="4860" w:type="dxa"/>
            <w:tcBorders>
              <w:top w:val="single" w:sz="4" w:space="0" w:color="auto"/>
              <w:bottom w:val="double" w:sz="4" w:space="0" w:color="auto"/>
            </w:tcBorders>
            <w:shd w:val="clear" w:color="auto" w:fill="D9D9D9" w:themeFill="background1" w:themeFillShade="D9"/>
          </w:tcPr>
          <w:p w:rsidR="00162EBF" w:rsidRPr="00E52DE0" w:rsidRDefault="00162EBF" w:rsidP="00F03342">
            <w:pPr>
              <w:pStyle w:val="ListParagraph"/>
              <w:ind w:left="0"/>
              <w:jc w:val="center"/>
              <w:rPr>
                <w:b/>
              </w:rPr>
            </w:pPr>
            <w:r w:rsidRPr="00E52DE0">
              <w:rPr>
                <w:b/>
              </w:rPr>
              <w:t>Title</w:t>
            </w:r>
          </w:p>
        </w:tc>
        <w:tc>
          <w:tcPr>
            <w:tcW w:w="990" w:type="dxa"/>
            <w:tcBorders>
              <w:top w:val="single" w:sz="4" w:space="0" w:color="auto"/>
              <w:bottom w:val="double" w:sz="4" w:space="0" w:color="auto"/>
            </w:tcBorders>
            <w:shd w:val="clear" w:color="auto" w:fill="D9D9D9" w:themeFill="background1" w:themeFillShade="D9"/>
          </w:tcPr>
          <w:p w:rsidR="00162EBF" w:rsidRPr="00E52DE0" w:rsidRDefault="00162EBF" w:rsidP="00F03342">
            <w:pPr>
              <w:pStyle w:val="ListParagraph"/>
              <w:ind w:left="0"/>
              <w:jc w:val="center"/>
              <w:rPr>
                <w:b/>
              </w:rPr>
            </w:pPr>
            <w:r w:rsidRPr="00E52DE0">
              <w:rPr>
                <w:b/>
              </w:rPr>
              <w:t>URR</w:t>
            </w:r>
          </w:p>
        </w:tc>
        <w:tc>
          <w:tcPr>
            <w:tcW w:w="1620" w:type="dxa"/>
            <w:tcBorders>
              <w:top w:val="single" w:sz="4" w:space="0" w:color="auto"/>
              <w:bottom w:val="double" w:sz="4" w:space="0" w:color="auto"/>
            </w:tcBorders>
            <w:shd w:val="clear" w:color="auto" w:fill="D9D9D9" w:themeFill="background1" w:themeFillShade="D9"/>
          </w:tcPr>
          <w:p w:rsidR="00162EBF" w:rsidRPr="00E52DE0" w:rsidRDefault="00162EBF" w:rsidP="00F03342">
            <w:pPr>
              <w:pStyle w:val="ListParagraph"/>
              <w:ind w:left="0"/>
              <w:jc w:val="center"/>
              <w:rPr>
                <w:b/>
              </w:rPr>
            </w:pPr>
            <w:r w:rsidRPr="00E52DE0">
              <w:rPr>
                <w:b/>
              </w:rPr>
              <w:t>TQRR-Receipts</w:t>
            </w:r>
          </w:p>
        </w:tc>
      </w:tr>
      <w:tr w:rsidR="002B2F60" w:rsidRPr="00E52DE0" w:rsidTr="00F75015">
        <w:tc>
          <w:tcPr>
            <w:tcW w:w="810" w:type="dxa"/>
            <w:tcBorders>
              <w:top w:val="double" w:sz="4" w:space="0" w:color="auto"/>
              <w:bottom w:val="single" w:sz="6" w:space="0" w:color="auto"/>
            </w:tcBorders>
          </w:tcPr>
          <w:p w:rsidR="002B2F60" w:rsidRPr="00E52DE0" w:rsidRDefault="002B2F60" w:rsidP="00F03342">
            <w:pPr>
              <w:pStyle w:val="ListParagraph"/>
              <w:ind w:left="0"/>
              <w:rPr>
                <w:sz w:val="20"/>
                <w:szCs w:val="20"/>
              </w:rPr>
            </w:pPr>
            <w:r w:rsidRPr="00E52DE0">
              <w:rPr>
                <w:sz w:val="20"/>
                <w:szCs w:val="20"/>
              </w:rPr>
              <w:t>00</w:t>
            </w:r>
          </w:p>
        </w:tc>
        <w:tc>
          <w:tcPr>
            <w:tcW w:w="4860" w:type="dxa"/>
            <w:tcBorders>
              <w:top w:val="double" w:sz="4" w:space="0" w:color="auto"/>
              <w:bottom w:val="single" w:sz="6" w:space="0" w:color="auto"/>
            </w:tcBorders>
          </w:tcPr>
          <w:p w:rsidR="002B2F60" w:rsidRPr="00E52DE0" w:rsidRDefault="002B2F60" w:rsidP="00F03342">
            <w:pPr>
              <w:pStyle w:val="ListParagraph"/>
              <w:ind w:left="0"/>
              <w:rPr>
                <w:sz w:val="20"/>
                <w:szCs w:val="20"/>
              </w:rPr>
            </w:pPr>
            <w:r w:rsidRPr="00E52DE0">
              <w:rPr>
                <w:sz w:val="20"/>
                <w:szCs w:val="20"/>
              </w:rPr>
              <w:t>All sectors</w:t>
            </w:r>
          </w:p>
        </w:tc>
        <w:tc>
          <w:tcPr>
            <w:tcW w:w="990" w:type="dxa"/>
            <w:tcBorders>
              <w:top w:val="double" w:sz="4" w:space="0" w:color="auto"/>
              <w:bottom w:val="single" w:sz="6" w:space="0" w:color="auto"/>
              <w:right w:val="nil"/>
            </w:tcBorders>
            <w:shd w:val="clear" w:color="auto" w:fill="auto"/>
            <w:vAlign w:val="center"/>
          </w:tcPr>
          <w:p w:rsidR="002B2F60" w:rsidRPr="004C61E6" w:rsidRDefault="002B2F60" w:rsidP="00F75015">
            <w:pPr>
              <w:jc w:val="right"/>
              <w:rPr>
                <w:rFonts w:ascii="Calibri" w:hAnsi="Calibri"/>
                <w:color w:val="000000"/>
              </w:rPr>
            </w:pPr>
            <w:r w:rsidRPr="004C61E6">
              <w:rPr>
                <w:rFonts w:ascii="Calibri" w:hAnsi="Calibri"/>
                <w:color w:val="000000"/>
              </w:rPr>
              <w:t>76.1%</w:t>
            </w:r>
          </w:p>
        </w:tc>
        <w:tc>
          <w:tcPr>
            <w:tcW w:w="1620" w:type="dxa"/>
            <w:tcBorders>
              <w:top w:val="double" w:sz="4" w:space="0" w:color="auto"/>
              <w:bottom w:val="single" w:sz="6" w:space="0" w:color="auto"/>
              <w:right w:val="single" w:sz="4" w:space="0" w:color="auto"/>
            </w:tcBorders>
            <w:vAlign w:val="center"/>
          </w:tcPr>
          <w:p w:rsidR="002B2F60" w:rsidRPr="004C61E6" w:rsidRDefault="002B2F60" w:rsidP="00F75015">
            <w:pPr>
              <w:jc w:val="right"/>
              <w:rPr>
                <w:rFonts w:ascii="Calibri" w:hAnsi="Calibri"/>
                <w:color w:val="000000"/>
              </w:rPr>
            </w:pPr>
            <w:r w:rsidRPr="004C61E6">
              <w:rPr>
                <w:rFonts w:ascii="Calibri" w:hAnsi="Calibri"/>
                <w:color w:val="000000"/>
              </w:rPr>
              <w:t>70.2%</w:t>
            </w:r>
          </w:p>
        </w:tc>
      </w:tr>
      <w:tr w:rsidR="002B2F60" w:rsidRPr="00E52DE0" w:rsidTr="00F75015">
        <w:tc>
          <w:tcPr>
            <w:tcW w:w="810" w:type="dxa"/>
            <w:tcBorders>
              <w:top w:val="single" w:sz="6" w:space="0" w:color="auto"/>
            </w:tcBorders>
          </w:tcPr>
          <w:p w:rsidR="002B2F60" w:rsidRPr="00E52DE0" w:rsidRDefault="002B2F60" w:rsidP="00F03342">
            <w:pPr>
              <w:pStyle w:val="ListParagraph"/>
              <w:ind w:left="0"/>
              <w:rPr>
                <w:sz w:val="20"/>
                <w:szCs w:val="20"/>
              </w:rPr>
            </w:pPr>
            <w:r w:rsidRPr="00E52DE0">
              <w:rPr>
                <w:sz w:val="20"/>
                <w:szCs w:val="20"/>
              </w:rPr>
              <w:t xml:space="preserve">21 </w:t>
            </w:r>
          </w:p>
        </w:tc>
        <w:tc>
          <w:tcPr>
            <w:tcW w:w="4860" w:type="dxa"/>
            <w:tcBorders>
              <w:top w:val="single" w:sz="6" w:space="0" w:color="auto"/>
            </w:tcBorders>
          </w:tcPr>
          <w:p w:rsidR="002B2F60" w:rsidRPr="00E52DE0" w:rsidRDefault="002B2F60" w:rsidP="00F03342">
            <w:pPr>
              <w:pStyle w:val="ListParagraph"/>
              <w:ind w:left="0"/>
              <w:rPr>
                <w:sz w:val="20"/>
                <w:szCs w:val="20"/>
              </w:rPr>
            </w:pPr>
            <w:r w:rsidRPr="00E52DE0">
              <w:rPr>
                <w:sz w:val="20"/>
                <w:szCs w:val="20"/>
              </w:rPr>
              <w:t>Mining, Quarrying, and Oil &amp; Gas Extracting</w:t>
            </w:r>
          </w:p>
        </w:tc>
        <w:tc>
          <w:tcPr>
            <w:tcW w:w="990" w:type="dxa"/>
            <w:tcBorders>
              <w:top w:val="single" w:sz="6" w:space="0" w:color="auto"/>
              <w:bottom w:val="single" w:sz="4" w:space="0" w:color="auto"/>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69.8%</w:t>
            </w:r>
          </w:p>
        </w:tc>
        <w:tc>
          <w:tcPr>
            <w:tcW w:w="1620" w:type="dxa"/>
            <w:tcBorders>
              <w:top w:val="single" w:sz="6" w:space="0" w:color="auto"/>
              <w:bottom w:val="single" w:sz="4" w:space="0" w:color="auto"/>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75.5%</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22</w:t>
            </w:r>
          </w:p>
        </w:tc>
        <w:tc>
          <w:tcPr>
            <w:tcW w:w="4860" w:type="dxa"/>
          </w:tcPr>
          <w:p w:rsidR="002B2F60" w:rsidRPr="00E52DE0" w:rsidRDefault="002B2F60" w:rsidP="00F03342">
            <w:pPr>
              <w:pStyle w:val="ListParagraph"/>
              <w:ind w:left="0"/>
              <w:rPr>
                <w:sz w:val="20"/>
                <w:szCs w:val="20"/>
              </w:rPr>
            </w:pPr>
            <w:r w:rsidRPr="00E52DE0">
              <w:rPr>
                <w:sz w:val="20"/>
                <w:szCs w:val="20"/>
              </w:rPr>
              <w:t>Utilities</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86.2%</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77.4%</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23</w:t>
            </w:r>
          </w:p>
        </w:tc>
        <w:tc>
          <w:tcPr>
            <w:tcW w:w="4860" w:type="dxa"/>
          </w:tcPr>
          <w:p w:rsidR="002B2F60" w:rsidRPr="00E52DE0" w:rsidRDefault="002B2F60" w:rsidP="00F03342">
            <w:pPr>
              <w:pStyle w:val="ListParagraph"/>
              <w:ind w:left="0"/>
              <w:rPr>
                <w:sz w:val="20"/>
                <w:szCs w:val="20"/>
              </w:rPr>
            </w:pPr>
            <w:r w:rsidRPr="00E52DE0">
              <w:rPr>
                <w:sz w:val="20"/>
                <w:szCs w:val="20"/>
              </w:rPr>
              <w:t>Construction</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81.6%</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79.6%</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31-33</w:t>
            </w:r>
          </w:p>
        </w:tc>
        <w:tc>
          <w:tcPr>
            <w:tcW w:w="4860" w:type="dxa"/>
          </w:tcPr>
          <w:p w:rsidR="002B2F60" w:rsidRPr="00E52DE0" w:rsidRDefault="002B2F60" w:rsidP="00F03342">
            <w:pPr>
              <w:pStyle w:val="ListParagraph"/>
              <w:ind w:left="0"/>
              <w:rPr>
                <w:sz w:val="20"/>
                <w:szCs w:val="20"/>
              </w:rPr>
            </w:pPr>
            <w:r w:rsidRPr="00E52DE0">
              <w:rPr>
                <w:sz w:val="20"/>
                <w:szCs w:val="20"/>
              </w:rPr>
              <w:t>Manufacturing</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83.7%</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64.8%</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42</w:t>
            </w:r>
          </w:p>
        </w:tc>
        <w:tc>
          <w:tcPr>
            <w:tcW w:w="4860" w:type="dxa"/>
          </w:tcPr>
          <w:p w:rsidR="002B2F60" w:rsidRPr="00E52DE0" w:rsidRDefault="002B2F60" w:rsidP="00F03342">
            <w:pPr>
              <w:pStyle w:val="ListParagraph"/>
              <w:ind w:left="0"/>
              <w:rPr>
                <w:sz w:val="20"/>
                <w:szCs w:val="20"/>
              </w:rPr>
            </w:pPr>
            <w:r w:rsidRPr="00E52DE0">
              <w:rPr>
                <w:sz w:val="20"/>
                <w:szCs w:val="20"/>
              </w:rPr>
              <w:t>Wholesale Trade</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80.5%</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77.0%</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44-45</w:t>
            </w:r>
          </w:p>
        </w:tc>
        <w:tc>
          <w:tcPr>
            <w:tcW w:w="4860" w:type="dxa"/>
          </w:tcPr>
          <w:p w:rsidR="002B2F60" w:rsidRPr="00E52DE0" w:rsidRDefault="002B2F60" w:rsidP="00F03342">
            <w:pPr>
              <w:pStyle w:val="ListParagraph"/>
              <w:ind w:left="0"/>
              <w:rPr>
                <w:sz w:val="20"/>
                <w:szCs w:val="20"/>
              </w:rPr>
            </w:pPr>
            <w:r w:rsidRPr="00E52DE0">
              <w:rPr>
                <w:sz w:val="20"/>
                <w:szCs w:val="20"/>
              </w:rPr>
              <w:t>Retail Trade</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73.7%</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67.4%</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48-49</w:t>
            </w:r>
          </w:p>
        </w:tc>
        <w:tc>
          <w:tcPr>
            <w:tcW w:w="4860" w:type="dxa"/>
          </w:tcPr>
          <w:p w:rsidR="002B2F60" w:rsidRPr="00E52DE0" w:rsidRDefault="002B2F60" w:rsidP="00F03342">
            <w:pPr>
              <w:pStyle w:val="ListParagraph"/>
              <w:ind w:left="0"/>
              <w:rPr>
                <w:sz w:val="20"/>
                <w:szCs w:val="20"/>
              </w:rPr>
            </w:pPr>
            <w:r w:rsidRPr="00E52DE0">
              <w:rPr>
                <w:sz w:val="20"/>
                <w:szCs w:val="20"/>
              </w:rPr>
              <w:t>Transportation &amp; Warehousing</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79.8%</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76.1%</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51</w:t>
            </w:r>
          </w:p>
        </w:tc>
        <w:tc>
          <w:tcPr>
            <w:tcW w:w="4860" w:type="dxa"/>
          </w:tcPr>
          <w:p w:rsidR="002B2F60" w:rsidRPr="00E52DE0" w:rsidRDefault="002B2F60" w:rsidP="00F03342">
            <w:pPr>
              <w:pStyle w:val="ListParagraph"/>
              <w:ind w:left="0"/>
              <w:rPr>
                <w:sz w:val="20"/>
                <w:szCs w:val="20"/>
              </w:rPr>
            </w:pPr>
            <w:r w:rsidRPr="00E52DE0">
              <w:rPr>
                <w:sz w:val="20"/>
                <w:szCs w:val="20"/>
              </w:rPr>
              <w:t>Information</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77.1%</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71.0%</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52</w:t>
            </w:r>
          </w:p>
        </w:tc>
        <w:tc>
          <w:tcPr>
            <w:tcW w:w="4860" w:type="dxa"/>
          </w:tcPr>
          <w:p w:rsidR="002B2F60" w:rsidRPr="00E52DE0" w:rsidRDefault="002B2F60" w:rsidP="00F03342">
            <w:pPr>
              <w:pStyle w:val="ListParagraph"/>
              <w:ind w:left="0"/>
              <w:rPr>
                <w:sz w:val="20"/>
                <w:szCs w:val="20"/>
              </w:rPr>
            </w:pPr>
            <w:r w:rsidRPr="00E52DE0">
              <w:rPr>
                <w:sz w:val="20"/>
                <w:szCs w:val="20"/>
              </w:rPr>
              <w:t>Finance &amp; Insurance</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69.7%</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67.4%</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53</w:t>
            </w:r>
          </w:p>
        </w:tc>
        <w:tc>
          <w:tcPr>
            <w:tcW w:w="4860" w:type="dxa"/>
          </w:tcPr>
          <w:p w:rsidR="002B2F60" w:rsidRPr="00E52DE0" w:rsidRDefault="002B2F60" w:rsidP="00F03342">
            <w:pPr>
              <w:pStyle w:val="ListParagraph"/>
              <w:ind w:left="0"/>
              <w:rPr>
                <w:sz w:val="20"/>
                <w:szCs w:val="20"/>
              </w:rPr>
            </w:pPr>
            <w:r w:rsidRPr="00E52DE0">
              <w:rPr>
                <w:sz w:val="20"/>
                <w:szCs w:val="20"/>
              </w:rPr>
              <w:t>Real Estate and Rental &amp; Leasing</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67.7%</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69.3%</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54</w:t>
            </w:r>
          </w:p>
        </w:tc>
        <w:tc>
          <w:tcPr>
            <w:tcW w:w="4860" w:type="dxa"/>
          </w:tcPr>
          <w:p w:rsidR="002B2F60" w:rsidRPr="00E52DE0" w:rsidRDefault="002B2F60" w:rsidP="00F03342">
            <w:pPr>
              <w:pStyle w:val="ListParagraph"/>
              <w:ind w:left="0"/>
              <w:rPr>
                <w:sz w:val="20"/>
                <w:szCs w:val="20"/>
              </w:rPr>
            </w:pPr>
            <w:r w:rsidRPr="00E52DE0">
              <w:rPr>
                <w:sz w:val="20"/>
                <w:szCs w:val="20"/>
              </w:rPr>
              <w:t>Professional, Scientific, &amp; Technical Services</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81.4%</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76.4%</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56</w:t>
            </w:r>
          </w:p>
        </w:tc>
        <w:tc>
          <w:tcPr>
            <w:tcW w:w="4860" w:type="dxa"/>
          </w:tcPr>
          <w:p w:rsidR="002B2F60" w:rsidRPr="00E52DE0" w:rsidRDefault="002B2F60" w:rsidP="00F03342">
            <w:pPr>
              <w:pStyle w:val="ListParagraph"/>
              <w:ind w:left="0"/>
              <w:rPr>
                <w:sz w:val="20"/>
                <w:szCs w:val="20"/>
              </w:rPr>
            </w:pPr>
            <w:r w:rsidRPr="00E52DE0">
              <w:rPr>
                <w:sz w:val="20"/>
                <w:szCs w:val="20"/>
              </w:rPr>
              <w:t>Administrative and Support &amp; Waste Management and Remediation Services</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81.8%</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66.1%</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61</w:t>
            </w:r>
          </w:p>
        </w:tc>
        <w:tc>
          <w:tcPr>
            <w:tcW w:w="4860" w:type="dxa"/>
          </w:tcPr>
          <w:p w:rsidR="002B2F60" w:rsidRPr="00E52DE0" w:rsidRDefault="002B2F60" w:rsidP="00F03342">
            <w:pPr>
              <w:pStyle w:val="ListParagraph"/>
              <w:ind w:left="0"/>
              <w:rPr>
                <w:sz w:val="20"/>
                <w:szCs w:val="20"/>
              </w:rPr>
            </w:pPr>
            <w:r w:rsidRPr="00E52DE0">
              <w:rPr>
                <w:sz w:val="20"/>
                <w:szCs w:val="20"/>
              </w:rPr>
              <w:t>Educational Services (except 6111, 6112, &amp; 6113)</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77.1%</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85.8%</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62</w:t>
            </w:r>
          </w:p>
        </w:tc>
        <w:tc>
          <w:tcPr>
            <w:tcW w:w="4860" w:type="dxa"/>
          </w:tcPr>
          <w:p w:rsidR="002B2F60" w:rsidRPr="00E52DE0" w:rsidRDefault="002B2F60" w:rsidP="00F03342">
            <w:pPr>
              <w:rPr>
                <w:sz w:val="20"/>
                <w:szCs w:val="20"/>
              </w:rPr>
            </w:pPr>
            <w:r w:rsidRPr="00E52DE0">
              <w:rPr>
                <w:sz w:val="20"/>
                <w:szCs w:val="20"/>
              </w:rPr>
              <w:t>Health Care and Social Assistance</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72.3%</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66.4%</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71</w:t>
            </w:r>
          </w:p>
        </w:tc>
        <w:tc>
          <w:tcPr>
            <w:tcW w:w="4860" w:type="dxa"/>
          </w:tcPr>
          <w:p w:rsidR="002B2F60" w:rsidRPr="00E52DE0" w:rsidRDefault="002B2F60" w:rsidP="00F03342">
            <w:pPr>
              <w:rPr>
                <w:sz w:val="20"/>
                <w:szCs w:val="20"/>
              </w:rPr>
            </w:pPr>
            <w:r w:rsidRPr="00E52DE0">
              <w:rPr>
                <w:sz w:val="20"/>
                <w:szCs w:val="20"/>
              </w:rPr>
              <w:t>Arts, Entertainment, &amp; Recreation</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80.3%</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80.4%</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72</w:t>
            </w:r>
          </w:p>
        </w:tc>
        <w:tc>
          <w:tcPr>
            <w:tcW w:w="4860" w:type="dxa"/>
          </w:tcPr>
          <w:p w:rsidR="002B2F60" w:rsidRPr="00E52DE0" w:rsidRDefault="002B2F60" w:rsidP="00F03342">
            <w:pPr>
              <w:pStyle w:val="ListParagraph"/>
              <w:ind w:left="0"/>
              <w:rPr>
                <w:sz w:val="20"/>
                <w:szCs w:val="20"/>
              </w:rPr>
            </w:pPr>
            <w:r w:rsidRPr="00E52DE0">
              <w:rPr>
                <w:sz w:val="20"/>
                <w:szCs w:val="20"/>
              </w:rPr>
              <w:t>Accommodation &amp; Food Services</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63.8%</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67.5%</w:t>
            </w:r>
          </w:p>
        </w:tc>
      </w:tr>
      <w:tr w:rsidR="002B2F60" w:rsidRPr="00E52DE0" w:rsidTr="00F75015">
        <w:tc>
          <w:tcPr>
            <w:tcW w:w="810" w:type="dxa"/>
          </w:tcPr>
          <w:p w:rsidR="002B2F60" w:rsidRPr="00E52DE0" w:rsidRDefault="002B2F60" w:rsidP="00F03342">
            <w:pPr>
              <w:pStyle w:val="ListParagraph"/>
              <w:ind w:left="0"/>
              <w:rPr>
                <w:sz w:val="20"/>
                <w:szCs w:val="20"/>
              </w:rPr>
            </w:pPr>
            <w:r w:rsidRPr="00E52DE0">
              <w:rPr>
                <w:sz w:val="20"/>
                <w:szCs w:val="20"/>
              </w:rPr>
              <w:t>81</w:t>
            </w:r>
          </w:p>
        </w:tc>
        <w:tc>
          <w:tcPr>
            <w:tcW w:w="4860" w:type="dxa"/>
          </w:tcPr>
          <w:p w:rsidR="002B2F60" w:rsidRPr="00E52DE0" w:rsidRDefault="002B2F60" w:rsidP="00F03342">
            <w:pPr>
              <w:pStyle w:val="ListParagraph"/>
              <w:ind w:left="0"/>
              <w:rPr>
                <w:sz w:val="20"/>
                <w:szCs w:val="20"/>
              </w:rPr>
            </w:pPr>
            <w:r w:rsidRPr="00E52DE0">
              <w:rPr>
                <w:sz w:val="20"/>
                <w:szCs w:val="20"/>
              </w:rPr>
              <w:t>Other Services (except Public Administration)</w:t>
            </w:r>
          </w:p>
        </w:tc>
        <w:tc>
          <w:tcPr>
            <w:tcW w:w="990" w:type="dxa"/>
            <w:tcBorders>
              <w:right w:val="nil"/>
            </w:tcBorders>
            <w:shd w:val="clear" w:color="auto" w:fill="auto"/>
            <w:vAlign w:val="bottom"/>
          </w:tcPr>
          <w:p w:rsidR="002B2F60" w:rsidRPr="004C61E6" w:rsidRDefault="002B2F60" w:rsidP="00F75015">
            <w:pPr>
              <w:jc w:val="right"/>
              <w:rPr>
                <w:rFonts w:ascii="Calibri" w:hAnsi="Calibri"/>
                <w:color w:val="000000"/>
              </w:rPr>
            </w:pPr>
            <w:r w:rsidRPr="004C61E6">
              <w:rPr>
                <w:rFonts w:ascii="Calibri" w:hAnsi="Calibri"/>
                <w:color w:val="000000"/>
              </w:rPr>
              <w:t>74.6%</w:t>
            </w:r>
          </w:p>
        </w:tc>
        <w:tc>
          <w:tcPr>
            <w:tcW w:w="1620" w:type="dxa"/>
            <w:tcBorders>
              <w:right w:val="single" w:sz="4" w:space="0" w:color="auto"/>
            </w:tcBorders>
            <w:vAlign w:val="bottom"/>
          </w:tcPr>
          <w:p w:rsidR="002B2F60" w:rsidRPr="004C61E6" w:rsidRDefault="002B2F60" w:rsidP="00F75015">
            <w:pPr>
              <w:jc w:val="right"/>
              <w:rPr>
                <w:rFonts w:ascii="Calibri" w:hAnsi="Calibri"/>
                <w:color w:val="000000"/>
              </w:rPr>
            </w:pPr>
            <w:r w:rsidRPr="004C61E6">
              <w:rPr>
                <w:rFonts w:ascii="Calibri" w:hAnsi="Calibri"/>
                <w:color w:val="000000"/>
              </w:rPr>
              <w:t>84.8%</w:t>
            </w:r>
          </w:p>
        </w:tc>
      </w:tr>
    </w:tbl>
    <w:p w:rsidR="00162EBF" w:rsidRPr="00E52DE0" w:rsidRDefault="00162EBF" w:rsidP="00162EBF">
      <w:pPr>
        <w:ind w:left="360"/>
        <w:rPr>
          <w:b/>
        </w:rPr>
      </w:pPr>
    </w:p>
    <w:p w:rsidR="00162EBF" w:rsidRPr="00E52DE0" w:rsidRDefault="00162EBF" w:rsidP="007922A7">
      <w:pPr>
        <w:ind w:left="270"/>
      </w:pPr>
      <w:r w:rsidRPr="00E52DE0">
        <w:rPr>
          <w:b/>
        </w:rPr>
        <w:t>Unit Response Rate (URR)</w:t>
      </w:r>
      <w:r w:rsidRPr="00E52DE0">
        <w:t xml:space="preserve"> - The Unit Response Rate is defined as the ratio (expressed as a percentage) of the total unweighted number of enterprises that responded to the total number of enterprises that were eligible (or potentially eligible) for data collection. For an enterprise to be classified as a response, its receipts must have been reported or be considered equivalent-quality-to-reported.  URRs are indicators of the performance of the data collection process in obtaining usable </w:t>
      </w:r>
      <w:r w:rsidRPr="00E52DE0">
        <w:rPr>
          <w:rFonts w:cs="TimesNewRomanPSMT"/>
        </w:rPr>
        <w:t>responses.</w:t>
      </w:r>
    </w:p>
    <w:p w:rsidR="00162EBF" w:rsidRPr="00E52DE0" w:rsidRDefault="00162EBF" w:rsidP="007922A7">
      <w:pPr>
        <w:ind w:left="270"/>
      </w:pPr>
      <w:r w:rsidRPr="00E52DE0">
        <w:rPr>
          <w:b/>
        </w:rPr>
        <w:t>Total Quantity Response Rate (TQRR</w:t>
      </w:r>
      <w:r w:rsidR="005D109F" w:rsidRPr="00E52DE0">
        <w:rPr>
          <w:b/>
        </w:rPr>
        <w:t>-Receipts</w:t>
      </w:r>
      <w:r w:rsidRPr="00E52DE0">
        <w:rPr>
          <w:b/>
        </w:rPr>
        <w:t>)</w:t>
      </w:r>
      <w:r w:rsidRPr="00E52DE0">
        <w:t xml:space="preserve"> - The Total Quantity Response Rate is defined as the percentage of the estimated (weighted) total receipts that is based on reported data or from sources determined to be of equivalent-quality-to-reported data.  The TQRR is an item-level indicator of the “quality” of each estimate. In contrast to the URR, these weighted response rates are computed for individual data items.  In the case of the ESP, this is receipts. </w:t>
      </w:r>
    </w:p>
    <w:p w:rsidR="00787F89" w:rsidRPr="00E52DE0" w:rsidRDefault="00787F89" w:rsidP="00001F87">
      <w:pPr>
        <w:tabs>
          <w:tab w:val="left" w:pos="-1440"/>
          <w:tab w:val="left" w:pos="-720"/>
          <w:tab w:val="left" w:pos="0"/>
          <w:tab w:val="left" w:pos="1440"/>
          <w:tab w:val="left" w:pos="180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rPr>
      </w:pPr>
      <w:r w:rsidRPr="00E52DE0">
        <w:rPr>
          <w:b/>
        </w:rPr>
        <w:t>Response Rates – Payroll and Employment</w:t>
      </w:r>
    </w:p>
    <w:p w:rsidR="00787F89" w:rsidRPr="00E52DE0" w:rsidRDefault="00787F89" w:rsidP="00001F87">
      <w:pPr>
        <w:tabs>
          <w:tab w:val="left" w:pos="-1440"/>
          <w:tab w:val="left" w:pos="-720"/>
          <w:tab w:val="left" w:pos="0"/>
          <w:tab w:val="left" w:pos="1440"/>
          <w:tab w:val="left" w:pos="180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E52DE0">
        <w:t xml:space="preserve">The payroll and employment estimates produced by the ESP </w:t>
      </w:r>
      <w:r w:rsidR="00027AAA" w:rsidRPr="00E52DE0">
        <w:t>were calculated by</w:t>
      </w:r>
      <w:r w:rsidRPr="00E52DE0">
        <w:t xml:space="preserve"> consolidating </w:t>
      </w:r>
      <w:r w:rsidR="00027AAA" w:rsidRPr="00E52DE0">
        <w:t xml:space="preserve">(to the enterprise level) the payroll and employment </w:t>
      </w:r>
      <w:r w:rsidRPr="00E52DE0">
        <w:t xml:space="preserve">data collected at the establishment level by the 2012 </w:t>
      </w:r>
      <w:r w:rsidR="00D95CF8" w:rsidRPr="00E52DE0">
        <w:t>County Business Patterns (CBP)</w:t>
      </w:r>
      <w:r w:rsidRPr="00E52DE0">
        <w:t xml:space="preserve">.  </w:t>
      </w:r>
      <w:r w:rsidR="00027AAA" w:rsidRPr="00E52DE0">
        <w:t xml:space="preserve">These data were not </w:t>
      </w:r>
      <w:r w:rsidR="00554F4F" w:rsidRPr="00E52DE0">
        <w:t xml:space="preserve">separately </w:t>
      </w:r>
      <w:r w:rsidR="00027AAA" w:rsidRPr="00E52DE0">
        <w:t xml:space="preserve">collected on the ESP questionnaire.  </w:t>
      </w:r>
      <w:r w:rsidR="00C96D79" w:rsidRPr="00E52DE0">
        <w:t>Therefore,</w:t>
      </w:r>
      <w:r w:rsidR="00027AAA" w:rsidRPr="00E52DE0">
        <w:t xml:space="preserve"> no response rates for these</w:t>
      </w:r>
      <w:r w:rsidR="005E76BF" w:rsidRPr="00E52DE0">
        <w:t xml:space="preserve"> data items are</w:t>
      </w:r>
      <w:r w:rsidR="00027AAA" w:rsidRPr="00E52DE0">
        <w:t xml:space="preserve"> provided by ESP.</w:t>
      </w:r>
    </w:p>
    <w:p w:rsidR="008D33D3" w:rsidRDefault="008D33D3">
      <w:pPr>
        <w:rPr>
          <w:b/>
        </w:rPr>
      </w:pPr>
      <w:r>
        <w:rPr>
          <w:b/>
        </w:rPr>
        <w:br w:type="page"/>
      </w:r>
    </w:p>
    <w:p w:rsidR="00B224C0" w:rsidRPr="00E52DE0" w:rsidRDefault="00B224C0" w:rsidP="00001F87">
      <w:pPr>
        <w:tabs>
          <w:tab w:val="left" w:pos="-1440"/>
          <w:tab w:val="left" w:pos="-720"/>
          <w:tab w:val="left" w:pos="0"/>
          <w:tab w:val="left" w:pos="1440"/>
          <w:tab w:val="left" w:pos="180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rPr>
      </w:pPr>
      <w:r w:rsidRPr="00E52DE0">
        <w:rPr>
          <w:b/>
        </w:rPr>
        <w:lastRenderedPageBreak/>
        <w:t>Response Rates – Other Data Items</w:t>
      </w:r>
    </w:p>
    <w:p w:rsidR="00001F87" w:rsidRPr="00E52DE0" w:rsidRDefault="00001F87" w:rsidP="00001F87">
      <w:pPr>
        <w:tabs>
          <w:tab w:val="left" w:pos="-1440"/>
          <w:tab w:val="left" w:pos="-720"/>
          <w:tab w:val="left" w:pos="0"/>
          <w:tab w:val="left" w:pos="1440"/>
          <w:tab w:val="left" w:pos="180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E52DE0">
        <w:t xml:space="preserve">For </w:t>
      </w:r>
      <w:r w:rsidR="00027AAA" w:rsidRPr="00E52DE0">
        <w:t xml:space="preserve">non-receipts </w:t>
      </w:r>
      <w:r w:rsidRPr="00E52DE0">
        <w:t xml:space="preserve">data items collected on the ESP questionnaire </w:t>
      </w:r>
      <w:r w:rsidR="00027AAA" w:rsidRPr="00E52DE0">
        <w:t>(</w:t>
      </w:r>
      <w:r w:rsidR="00B224C0" w:rsidRPr="00E52DE0">
        <w:t xml:space="preserve">such as </w:t>
      </w:r>
      <w:r w:rsidR="00D95CF8" w:rsidRPr="00E52DE0">
        <w:t xml:space="preserve">revenue from </w:t>
      </w:r>
      <w:r w:rsidR="00B224C0" w:rsidRPr="00E52DE0">
        <w:t xml:space="preserve">royalty and license fees, </w:t>
      </w:r>
      <w:r w:rsidR="00D95CF8" w:rsidRPr="00E52DE0">
        <w:t>research and development</w:t>
      </w:r>
      <w:r w:rsidR="00B224C0" w:rsidRPr="00E52DE0">
        <w:t xml:space="preserve"> expenses</w:t>
      </w:r>
      <w:r w:rsidR="00787F89" w:rsidRPr="00E52DE0">
        <w:t>, manufacturing activity, etc.</w:t>
      </w:r>
      <w:r w:rsidR="00027AAA" w:rsidRPr="00E52DE0">
        <w:t>) no attempt was made t</w:t>
      </w:r>
      <w:r w:rsidR="00C12ADD" w:rsidRPr="00E52DE0">
        <w:t xml:space="preserve">o impute for any missing data as there was no clear method for doing this and is consistent with the treatment of these data items in the 2011 ESP.  </w:t>
      </w:r>
      <w:r w:rsidR="00027AAA" w:rsidRPr="00E52DE0">
        <w:t xml:space="preserve">Instead, </w:t>
      </w:r>
      <w:r w:rsidR="00787F89" w:rsidRPr="00E52DE0">
        <w:t>the estimated number of non-responding enterprises and their receipts are shown in the appropriate table.  These estimates are shown in rows labeled, “(</w:t>
      </w:r>
      <w:r w:rsidR="00787F89" w:rsidRPr="00E52DE0">
        <w:rPr>
          <w:i/>
        </w:rPr>
        <w:t>data item</w:t>
      </w:r>
      <w:r w:rsidR="00787F89" w:rsidRPr="00E52DE0">
        <w:t>) not reported”.</w:t>
      </w:r>
    </w:p>
    <w:p w:rsidR="00696A74" w:rsidRPr="00E52DE0" w:rsidRDefault="00696A74" w:rsidP="00696A74">
      <w:pPr>
        <w:rPr>
          <w:b/>
          <w:caps/>
          <w:sz w:val="24"/>
          <w:szCs w:val="24"/>
        </w:rPr>
      </w:pPr>
      <w:r w:rsidRPr="00E52DE0">
        <w:rPr>
          <w:b/>
          <w:caps/>
          <w:sz w:val="24"/>
          <w:szCs w:val="24"/>
        </w:rPr>
        <w:t xml:space="preserve">Disclosure Avoidance </w:t>
      </w:r>
    </w:p>
    <w:p w:rsidR="00855ABF" w:rsidRPr="00E52DE0" w:rsidRDefault="00696A74" w:rsidP="00696A74">
      <w:r w:rsidRPr="00E52DE0">
        <w:t xml:space="preserve">Disclosure is the release of data that have been deemed confidential. It generally reveals information about a specific individual or enterprise or permits deduction of sensitive information about a particular individual or </w:t>
      </w:r>
      <w:r w:rsidR="00855ABF" w:rsidRPr="00E52DE0">
        <w:t>enterprise</w:t>
      </w:r>
      <w:r w:rsidRPr="00E52DE0">
        <w:t xml:space="preserve">. Disclosure avoidance is the process used to protect the confidentiality of the survey data provided by an individual or enterprise. </w:t>
      </w:r>
    </w:p>
    <w:p w:rsidR="00696A74" w:rsidRPr="00E52DE0" w:rsidRDefault="00696A74" w:rsidP="00696A74">
      <w:r w:rsidRPr="00E52DE0">
        <w:t>Using disclosure avoidance procedures, the Census Bureau modifies or removes the characteristics that put confidential information at risk of disclosure. Although it may appear that a table shows information about a specific individual or business, the Census Bureau has taken steps to disguise or suppress the original data while making sure the results are still useful. The techniques used by the Census Bureau to protect confidentiality in tabulations vary, depending on the type of data.</w:t>
      </w:r>
    </w:p>
    <w:p w:rsidR="00696A74" w:rsidRPr="00E52DE0" w:rsidRDefault="00696A74" w:rsidP="00696A74">
      <w:pPr>
        <w:rPr>
          <w:b/>
        </w:rPr>
      </w:pPr>
      <w:r w:rsidRPr="00E52DE0">
        <w:rPr>
          <w:b/>
        </w:rPr>
        <w:t>Noise Infusion</w:t>
      </w:r>
    </w:p>
    <w:p w:rsidR="009243C0" w:rsidRPr="00E52DE0" w:rsidRDefault="00696A74" w:rsidP="00696A74">
      <w:r w:rsidRPr="00E52DE0">
        <w:t xml:space="preserve">The Enterprise Statistics Program adopted the Noise Infusion method of data protection. Noise infusion is a method of disclosure avoidance in which values for each </w:t>
      </w:r>
      <w:r w:rsidR="009243C0" w:rsidRPr="00E52DE0">
        <w:t>enterprise</w:t>
      </w:r>
      <w:r w:rsidRPr="00E52DE0">
        <w:t xml:space="preserve"> are perturbed prior to table creation by applying a random noise multiplier to the magnitude data (i.e., characteristics such as </w:t>
      </w:r>
      <w:r w:rsidR="009243C0" w:rsidRPr="00E52DE0">
        <w:t>receipts,</w:t>
      </w:r>
      <w:r w:rsidRPr="00E52DE0">
        <w:t xml:space="preserve"> payroll, number of employees</w:t>
      </w:r>
      <w:r w:rsidR="009243C0" w:rsidRPr="00E52DE0">
        <w:t>, etc.</w:t>
      </w:r>
      <w:r w:rsidRPr="00E52DE0">
        <w:t xml:space="preserve">) for each </w:t>
      </w:r>
      <w:r w:rsidR="009243C0" w:rsidRPr="00E52DE0">
        <w:t>enterprise</w:t>
      </w:r>
      <w:r w:rsidRPr="00E52DE0">
        <w:t xml:space="preserve">. Disclosure protection is accomplished in a manner that results in a relatively small change in the vast majority of cell values. </w:t>
      </w:r>
    </w:p>
    <w:p w:rsidR="009243C0" w:rsidRPr="00E52DE0" w:rsidRDefault="00696A74" w:rsidP="00696A74">
      <w:r w:rsidRPr="00E52DE0">
        <w:t xml:space="preserve">For the Enterprise Statistics Program, each published cell value has an associated noise flag, indicating the relative amount of distortion in the cell value resulting from the perturbation of the data for the contributors to the cell. </w:t>
      </w:r>
      <w:r w:rsidR="009243C0" w:rsidRPr="00E52DE0">
        <w:t>These flags are:</w:t>
      </w:r>
    </w:p>
    <w:p w:rsidR="009243C0" w:rsidRPr="00E52DE0" w:rsidRDefault="00696A74" w:rsidP="009243C0">
      <w:pPr>
        <w:ind w:left="720" w:hanging="360"/>
      </w:pPr>
      <w:r w:rsidRPr="00E52DE0">
        <w:t>G</w:t>
      </w:r>
      <w:r w:rsidR="009243C0" w:rsidRPr="00E52DE0">
        <w:t xml:space="preserve"> –</w:t>
      </w:r>
      <w:r w:rsidRPr="00E52DE0">
        <w:t xml:space="preserve"> </w:t>
      </w:r>
      <w:r w:rsidR="009243C0" w:rsidRPr="00E52DE0">
        <w:tab/>
        <w:t xml:space="preserve">(low noise) </w:t>
      </w:r>
      <w:r w:rsidRPr="00E52DE0">
        <w:t xml:space="preserve">indicates the cell </w:t>
      </w:r>
      <w:r w:rsidR="00BC6685" w:rsidRPr="00E52DE0">
        <w:t>estimate</w:t>
      </w:r>
      <w:r w:rsidRPr="00E52DE0">
        <w:t xml:space="preserve"> was changed by less than 2 percent with the application of </w:t>
      </w:r>
      <w:r w:rsidR="00237A38" w:rsidRPr="00A32A4E">
        <w:t>noise.</w:t>
      </w:r>
      <w:r w:rsidRPr="00E52DE0">
        <w:t xml:space="preserve"> </w:t>
      </w:r>
    </w:p>
    <w:p w:rsidR="009243C0" w:rsidRPr="00E52DE0" w:rsidRDefault="009243C0" w:rsidP="009243C0">
      <w:pPr>
        <w:ind w:left="720" w:hanging="360"/>
      </w:pPr>
      <w:r w:rsidRPr="00E52DE0">
        <w:t xml:space="preserve">H </w:t>
      </w:r>
      <w:r w:rsidR="00BF1233" w:rsidRPr="00E52DE0">
        <w:t>–</w:t>
      </w:r>
      <w:r w:rsidRPr="00E52DE0">
        <w:t xml:space="preserve"> </w:t>
      </w:r>
      <w:r w:rsidRPr="00E52DE0">
        <w:tab/>
      </w:r>
      <w:r w:rsidR="00696A74" w:rsidRPr="00E52DE0">
        <w:t>(</w:t>
      </w:r>
      <w:r w:rsidRPr="00E52DE0">
        <w:t>moderate noise</w:t>
      </w:r>
      <w:r w:rsidR="00696A74" w:rsidRPr="00E52DE0">
        <w:t xml:space="preserve">) indicates the </w:t>
      </w:r>
      <w:r w:rsidR="00BC6685" w:rsidRPr="00E52DE0">
        <w:t>cell estimate</w:t>
      </w:r>
      <w:r w:rsidR="00696A74" w:rsidRPr="00E52DE0">
        <w:t xml:space="preserve"> was changed by 2 percent or more but less than </w:t>
      </w:r>
      <w:r w:rsidR="002229EB" w:rsidRPr="00E52DE0">
        <w:t>5</w:t>
      </w:r>
      <w:r w:rsidR="00696A74" w:rsidRPr="00E52DE0">
        <w:t xml:space="preserve"> percent. </w:t>
      </w:r>
    </w:p>
    <w:p w:rsidR="00BF1233" w:rsidRPr="00E52DE0" w:rsidRDefault="00BF1233" w:rsidP="009243C0">
      <w:pPr>
        <w:ind w:left="720" w:hanging="360"/>
      </w:pPr>
      <w:r w:rsidRPr="00E52DE0">
        <w:t>J – (high noise) indicates the cell estimate was changed by 5 percent or more.</w:t>
      </w:r>
    </w:p>
    <w:p w:rsidR="00811D50" w:rsidRPr="00E52DE0" w:rsidRDefault="00811D50" w:rsidP="002229EB">
      <w:pPr>
        <w:ind w:left="990" w:hanging="990"/>
        <w:rPr>
          <w:b/>
        </w:rPr>
      </w:pPr>
      <w:r w:rsidRPr="00E52DE0">
        <w:rPr>
          <w:b/>
        </w:rPr>
        <w:t>Suppressed Estimates</w:t>
      </w:r>
    </w:p>
    <w:p w:rsidR="00372FF5" w:rsidRPr="00E52DE0" w:rsidRDefault="00C8757C" w:rsidP="00696A74">
      <w:r w:rsidRPr="00E52DE0">
        <w:t>E</w:t>
      </w:r>
      <w:r w:rsidR="00AC16D0" w:rsidRPr="00E52DE0">
        <w:t>stimates are suppressed when the quality of the estimate does not meet publication standards</w:t>
      </w:r>
      <w:r w:rsidR="00372FF5" w:rsidRPr="00E52DE0">
        <w:t>.  These include:</w:t>
      </w:r>
    </w:p>
    <w:p w:rsidR="00372FF5" w:rsidRPr="00E52DE0" w:rsidRDefault="00372FF5" w:rsidP="00696A74">
      <w:pPr>
        <w:pStyle w:val="ListParagraph"/>
        <w:numPr>
          <w:ilvl w:val="0"/>
          <w:numId w:val="14"/>
        </w:numPr>
        <w:ind w:left="360"/>
      </w:pPr>
      <w:r w:rsidRPr="00E52DE0">
        <w:lastRenderedPageBreak/>
        <w:t xml:space="preserve">The </w:t>
      </w:r>
      <w:r w:rsidR="00AC16D0" w:rsidRPr="00E52DE0">
        <w:t>relati</w:t>
      </w:r>
      <w:r w:rsidRPr="00E52DE0">
        <w:t xml:space="preserve">ve standard error </w:t>
      </w:r>
      <w:r w:rsidR="00AE25BE" w:rsidRPr="00E52DE0">
        <w:t xml:space="preserve">(RSE) </w:t>
      </w:r>
      <w:r w:rsidRPr="00E52DE0">
        <w:t>of the estimate is greater than 3</w:t>
      </w:r>
      <w:r w:rsidR="00AC16D0" w:rsidRPr="00E52DE0">
        <w:t>0%</w:t>
      </w:r>
      <w:r w:rsidRPr="00E52DE0">
        <w:t>,</w:t>
      </w:r>
      <w:r w:rsidR="00AC16D0" w:rsidRPr="00E52DE0">
        <w:t xml:space="preserve"> </w:t>
      </w:r>
    </w:p>
    <w:p w:rsidR="00372FF5" w:rsidRPr="00E52DE0" w:rsidRDefault="00372FF5" w:rsidP="00696A74">
      <w:pPr>
        <w:pStyle w:val="ListParagraph"/>
        <w:numPr>
          <w:ilvl w:val="0"/>
          <w:numId w:val="14"/>
        </w:numPr>
        <w:ind w:left="360"/>
      </w:pPr>
      <w:r w:rsidRPr="00E52DE0">
        <w:t>There are fewer than three enterprises contributing to the estimate,</w:t>
      </w:r>
    </w:p>
    <w:p w:rsidR="00372FF5" w:rsidRPr="00E52DE0" w:rsidRDefault="00372FF5" w:rsidP="00696A74">
      <w:pPr>
        <w:pStyle w:val="ListParagraph"/>
        <w:numPr>
          <w:ilvl w:val="0"/>
          <w:numId w:val="14"/>
        </w:numPr>
        <w:ind w:left="360"/>
      </w:pPr>
      <w:r w:rsidRPr="00E52DE0">
        <w:t>T</w:t>
      </w:r>
      <w:r w:rsidR="00CE44FD" w:rsidRPr="00E52DE0">
        <w:t>o provide</w:t>
      </w:r>
      <w:r w:rsidR="00696A74" w:rsidRPr="00E52DE0">
        <w:t xml:space="preserve"> additional disclosure avoidance</w:t>
      </w:r>
      <w:r w:rsidR="00CD12BD" w:rsidRPr="00E52DE0">
        <w:t xml:space="preserve"> protection</w:t>
      </w:r>
      <w:r w:rsidRPr="00E52DE0">
        <w:t>,</w:t>
      </w:r>
      <w:r w:rsidR="00CE44FD" w:rsidRPr="00E52DE0">
        <w:t xml:space="preserve"> or </w:t>
      </w:r>
    </w:p>
    <w:p w:rsidR="00372FF5" w:rsidRPr="00E52DE0" w:rsidRDefault="00372FF5" w:rsidP="00696A74">
      <w:pPr>
        <w:pStyle w:val="ListParagraph"/>
        <w:numPr>
          <w:ilvl w:val="0"/>
          <w:numId w:val="14"/>
        </w:numPr>
        <w:ind w:left="360"/>
      </w:pPr>
      <w:r w:rsidRPr="00E52DE0">
        <w:t>B</w:t>
      </w:r>
      <w:r w:rsidR="00CE44FD" w:rsidRPr="00E52DE0">
        <w:t xml:space="preserve">ecause of other concerns about </w:t>
      </w:r>
      <w:r w:rsidR="00693AA4" w:rsidRPr="00E52DE0">
        <w:t>an</w:t>
      </w:r>
      <w:r w:rsidR="00CE44FD" w:rsidRPr="00E52DE0">
        <w:t xml:space="preserve"> estimate’s quality</w:t>
      </w:r>
      <w:r w:rsidR="00AC16D0" w:rsidRPr="00E52DE0">
        <w:t>.</w:t>
      </w:r>
      <w:r w:rsidR="00696A74" w:rsidRPr="00E52DE0">
        <w:t xml:space="preserve"> </w:t>
      </w:r>
      <w:r w:rsidR="00BC6685" w:rsidRPr="00E52DE0">
        <w:t xml:space="preserve">  </w:t>
      </w:r>
    </w:p>
    <w:p w:rsidR="00C8241D" w:rsidRPr="00E52DE0" w:rsidRDefault="00BF1233" w:rsidP="00696A74">
      <w:r w:rsidRPr="00E52DE0">
        <w:t>There are several situations in which a num</w:t>
      </w:r>
      <w:r w:rsidR="00771126" w:rsidRPr="00E52DE0">
        <w:t>eric estimate or a noise flag is</w:t>
      </w:r>
      <w:r w:rsidRPr="00E52DE0">
        <w:t xml:space="preserve"> replaced with </w:t>
      </w:r>
      <w:r w:rsidR="00C8241D" w:rsidRPr="00E52DE0">
        <w:t xml:space="preserve">a character symbol.  These situations are shown in </w:t>
      </w:r>
      <w:r w:rsidR="00633C5F" w:rsidRPr="00633C5F">
        <w:t>T</w:t>
      </w:r>
      <w:r w:rsidR="00C8241D" w:rsidRPr="00633C5F">
        <w:t xml:space="preserve">able </w:t>
      </w:r>
      <w:r w:rsidR="00B247D1" w:rsidRPr="00633C5F">
        <w:t>5</w:t>
      </w:r>
      <w:r w:rsidR="00C8241D" w:rsidRPr="00E52DE0">
        <w:t>.</w:t>
      </w:r>
    </w:p>
    <w:p w:rsidR="00771126" w:rsidRPr="00E52DE0" w:rsidRDefault="00771126" w:rsidP="00771126">
      <w:pPr>
        <w:spacing w:after="0"/>
        <w:rPr>
          <w:b/>
          <w:i/>
        </w:rPr>
      </w:pPr>
      <w:r w:rsidRPr="00E52DE0">
        <w:rPr>
          <w:b/>
          <w:i/>
        </w:rPr>
        <w:t>Table 5: ESP Table Symbols</w:t>
      </w:r>
    </w:p>
    <w:tbl>
      <w:tblPr>
        <w:tblStyle w:val="TableGrid"/>
        <w:tblW w:w="0" w:type="auto"/>
        <w:tblInd w:w="108" w:type="dxa"/>
        <w:tblLook w:val="04A0" w:firstRow="1" w:lastRow="0" w:firstColumn="1" w:lastColumn="0" w:noHBand="0" w:noVBand="1"/>
      </w:tblPr>
      <w:tblGrid>
        <w:gridCol w:w="1260"/>
        <w:gridCol w:w="8208"/>
      </w:tblGrid>
      <w:tr w:rsidR="00C8241D" w:rsidRPr="00E52DE0" w:rsidTr="00C8241D">
        <w:tc>
          <w:tcPr>
            <w:tcW w:w="1260" w:type="dxa"/>
            <w:tcBorders>
              <w:bottom w:val="double" w:sz="4" w:space="0" w:color="auto"/>
            </w:tcBorders>
            <w:shd w:val="clear" w:color="auto" w:fill="D9D9D9" w:themeFill="background1" w:themeFillShade="D9"/>
          </w:tcPr>
          <w:p w:rsidR="00C8241D" w:rsidRPr="00E52DE0" w:rsidRDefault="00C8241D" w:rsidP="00C8241D">
            <w:pPr>
              <w:jc w:val="center"/>
              <w:rPr>
                <w:b/>
              </w:rPr>
            </w:pPr>
            <w:r w:rsidRPr="00E52DE0">
              <w:rPr>
                <w:b/>
              </w:rPr>
              <w:t>Symbol</w:t>
            </w:r>
          </w:p>
        </w:tc>
        <w:tc>
          <w:tcPr>
            <w:tcW w:w="8208" w:type="dxa"/>
            <w:tcBorders>
              <w:bottom w:val="double" w:sz="4" w:space="0" w:color="auto"/>
            </w:tcBorders>
            <w:shd w:val="clear" w:color="auto" w:fill="D9D9D9" w:themeFill="background1" w:themeFillShade="D9"/>
          </w:tcPr>
          <w:p w:rsidR="00AC1CF4" w:rsidRDefault="00AC1CF4" w:rsidP="00C8241D">
            <w:pPr>
              <w:jc w:val="center"/>
              <w:rPr>
                <w:b/>
              </w:rPr>
            </w:pPr>
          </w:p>
          <w:p w:rsidR="00C8241D" w:rsidRPr="00E52DE0" w:rsidRDefault="00C8241D" w:rsidP="00C8241D">
            <w:pPr>
              <w:jc w:val="center"/>
              <w:rPr>
                <w:b/>
              </w:rPr>
            </w:pPr>
            <w:r w:rsidRPr="00E52DE0">
              <w:rPr>
                <w:b/>
              </w:rPr>
              <w:t>Meaning</w:t>
            </w:r>
          </w:p>
        </w:tc>
      </w:tr>
      <w:tr w:rsidR="00C8241D" w:rsidRPr="00E52DE0" w:rsidTr="00C8241D">
        <w:tc>
          <w:tcPr>
            <w:tcW w:w="1260" w:type="dxa"/>
            <w:tcBorders>
              <w:top w:val="double" w:sz="4" w:space="0" w:color="auto"/>
            </w:tcBorders>
          </w:tcPr>
          <w:p w:rsidR="00C8241D" w:rsidRPr="00E52DE0" w:rsidRDefault="00C8241D" w:rsidP="00C8241D">
            <w:pPr>
              <w:jc w:val="center"/>
            </w:pPr>
            <w:r w:rsidRPr="00E52DE0">
              <w:t>N</w:t>
            </w:r>
          </w:p>
        </w:tc>
        <w:tc>
          <w:tcPr>
            <w:tcW w:w="8208" w:type="dxa"/>
            <w:tcBorders>
              <w:top w:val="double" w:sz="4" w:space="0" w:color="auto"/>
            </w:tcBorders>
          </w:tcPr>
          <w:p w:rsidR="00C8241D" w:rsidRPr="00E52DE0" w:rsidRDefault="00125721" w:rsidP="00F75015">
            <w:r w:rsidRPr="00E52DE0">
              <w:rPr>
                <w:i/>
              </w:rPr>
              <w:t>Not available</w:t>
            </w:r>
            <w:r w:rsidRPr="00E52DE0">
              <w:t xml:space="preserve">.  </w:t>
            </w:r>
            <w:r w:rsidR="00F75015">
              <w:t xml:space="preserve">This symbol is used in Table </w:t>
            </w:r>
            <w:r w:rsidR="00F75015" w:rsidRPr="00F75015">
              <w:rPr>
                <w:b/>
              </w:rPr>
              <w:t>6</w:t>
            </w:r>
            <w:r w:rsidR="00C8241D" w:rsidRPr="00E52DE0">
              <w:t xml:space="preserve"> to represent the (unknown) royalties </w:t>
            </w:r>
            <w:r w:rsidR="00771126" w:rsidRPr="00E52DE0">
              <w:t xml:space="preserve">and licensing fee </w:t>
            </w:r>
            <w:r w:rsidR="00E62100" w:rsidRPr="00E52DE0">
              <w:t>revenue</w:t>
            </w:r>
            <w:r w:rsidR="00C8241D" w:rsidRPr="00E52DE0">
              <w:t xml:space="preserve"> of enterprises that did not respond to this question.</w:t>
            </w:r>
          </w:p>
        </w:tc>
      </w:tr>
      <w:tr w:rsidR="00C8241D" w:rsidRPr="00E52DE0" w:rsidTr="00C8241D">
        <w:tc>
          <w:tcPr>
            <w:tcW w:w="1260" w:type="dxa"/>
          </w:tcPr>
          <w:p w:rsidR="00C8241D" w:rsidRPr="00E52DE0" w:rsidRDefault="00C8241D" w:rsidP="00C8241D">
            <w:pPr>
              <w:jc w:val="center"/>
            </w:pPr>
            <w:r w:rsidRPr="00E52DE0">
              <w:t>S</w:t>
            </w:r>
          </w:p>
        </w:tc>
        <w:tc>
          <w:tcPr>
            <w:tcW w:w="8208" w:type="dxa"/>
          </w:tcPr>
          <w:p w:rsidR="00C8241D" w:rsidRPr="00E52DE0" w:rsidRDefault="00125721" w:rsidP="00696A74">
            <w:r w:rsidRPr="00E52DE0">
              <w:rPr>
                <w:i/>
              </w:rPr>
              <w:t>Suppressed</w:t>
            </w:r>
            <w:r w:rsidRPr="00E52DE0">
              <w:t xml:space="preserve">.  The estimate was withheld </w:t>
            </w:r>
            <w:r w:rsidR="003F242B" w:rsidRPr="00E52DE0">
              <w:t>because it did not meet publication standards (as discussed above).</w:t>
            </w:r>
          </w:p>
        </w:tc>
      </w:tr>
      <w:tr w:rsidR="00C8241D" w:rsidRPr="00E52DE0" w:rsidTr="00C8241D">
        <w:tc>
          <w:tcPr>
            <w:tcW w:w="1260" w:type="dxa"/>
          </w:tcPr>
          <w:p w:rsidR="00C8241D" w:rsidRPr="00E52DE0" w:rsidRDefault="00C8241D" w:rsidP="00C8241D">
            <w:pPr>
              <w:jc w:val="center"/>
            </w:pPr>
            <w:r w:rsidRPr="00E52DE0">
              <w:t>X</w:t>
            </w:r>
          </w:p>
        </w:tc>
        <w:tc>
          <w:tcPr>
            <w:tcW w:w="8208" w:type="dxa"/>
          </w:tcPr>
          <w:p w:rsidR="00C8241D" w:rsidRPr="00E52DE0" w:rsidRDefault="00125721" w:rsidP="004F77B6">
            <w:r w:rsidRPr="00E52DE0">
              <w:rPr>
                <w:i/>
              </w:rPr>
              <w:t>Not applicable</w:t>
            </w:r>
            <w:r w:rsidRPr="00E52DE0">
              <w:t xml:space="preserve">.  </w:t>
            </w:r>
            <w:r w:rsidR="003F242B" w:rsidRPr="00E52DE0">
              <w:t xml:space="preserve">This symbol is used </w:t>
            </w:r>
            <w:r w:rsidR="004F77B6" w:rsidRPr="00E52DE0">
              <w:t>in</w:t>
            </w:r>
            <w:r w:rsidR="003F242B" w:rsidRPr="00E52DE0">
              <w:t xml:space="preserve"> rows for which we have no data but have </w:t>
            </w:r>
            <w:r w:rsidR="00EA3105">
              <w:t xml:space="preserve">been </w:t>
            </w:r>
            <w:r w:rsidR="003F242B" w:rsidRPr="00E52DE0">
              <w:t>inserted in the tables to avoid leaving gaps in a set of ranges (1 – 25, 51 – 100, etc.).</w:t>
            </w:r>
            <w:r w:rsidR="00771126" w:rsidRPr="00E52DE0">
              <w:t xml:space="preserve">  It is also</w:t>
            </w:r>
            <w:r w:rsidR="00E62100" w:rsidRPr="00E52DE0">
              <w:t xml:space="preserve"> used in </w:t>
            </w:r>
            <w:r w:rsidR="00545B00">
              <w:t xml:space="preserve">Table </w:t>
            </w:r>
            <w:r w:rsidR="00545B00" w:rsidRPr="00F75015">
              <w:rPr>
                <w:b/>
              </w:rPr>
              <w:t>6</w:t>
            </w:r>
            <w:r w:rsidR="00545B00">
              <w:rPr>
                <w:b/>
              </w:rPr>
              <w:t xml:space="preserve"> </w:t>
            </w:r>
            <w:r w:rsidR="00E62100" w:rsidRPr="00E52DE0">
              <w:t xml:space="preserve">for certain estimates of enterprises that reported that they did not have any royalty or license fee revenue. </w:t>
            </w:r>
          </w:p>
        </w:tc>
      </w:tr>
      <w:tr w:rsidR="00C8241D" w:rsidRPr="00E52DE0" w:rsidTr="00C8241D">
        <w:tc>
          <w:tcPr>
            <w:tcW w:w="1260" w:type="dxa"/>
          </w:tcPr>
          <w:p w:rsidR="00C8241D" w:rsidRPr="00E52DE0" w:rsidRDefault="00C8241D" w:rsidP="00C8241D">
            <w:pPr>
              <w:jc w:val="center"/>
            </w:pPr>
            <w:r w:rsidRPr="00E52DE0">
              <w:t>Z</w:t>
            </w:r>
          </w:p>
        </w:tc>
        <w:tc>
          <w:tcPr>
            <w:tcW w:w="8208" w:type="dxa"/>
          </w:tcPr>
          <w:p w:rsidR="00C8241D" w:rsidRPr="00E52DE0" w:rsidRDefault="00125721" w:rsidP="004F77B6">
            <w:r w:rsidRPr="00E52DE0">
              <w:rPr>
                <w:i/>
              </w:rPr>
              <w:t>Rounds to zero</w:t>
            </w:r>
            <w:r w:rsidRPr="00E52DE0">
              <w:t xml:space="preserve">.  </w:t>
            </w:r>
            <w:r w:rsidR="003F242B" w:rsidRPr="00E52DE0">
              <w:t xml:space="preserve">This symbol represents estimates </w:t>
            </w:r>
            <w:r w:rsidR="00771126" w:rsidRPr="00E52DE0">
              <w:t xml:space="preserve">that are </w:t>
            </w:r>
            <w:r w:rsidRPr="00E52DE0">
              <w:t xml:space="preserve">actually </w:t>
            </w:r>
            <w:r w:rsidR="00771126" w:rsidRPr="00E52DE0">
              <w:t xml:space="preserve">greater than zero but </w:t>
            </w:r>
            <w:r w:rsidR="003F242B" w:rsidRPr="00E52DE0">
              <w:t>that round to zero</w:t>
            </w:r>
            <w:r w:rsidR="00771126" w:rsidRPr="00E52DE0">
              <w:t xml:space="preserve"> at the level that the numeric data are published.  For the ESP, this means an estimate </w:t>
            </w:r>
            <w:r w:rsidR="004F77B6" w:rsidRPr="00E52DE0">
              <w:t>of le</w:t>
            </w:r>
            <w:r w:rsidR="00771126" w:rsidRPr="00E52DE0">
              <w:t>ss than $500,000.</w:t>
            </w:r>
          </w:p>
        </w:tc>
      </w:tr>
    </w:tbl>
    <w:p w:rsidR="004F77B6" w:rsidRPr="00E52DE0" w:rsidRDefault="004F77B6" w:rsidP="00696A74"/>
    <w:p w:rsidR="00696A74" w:rsidRDefault="00696A74" w:rsidP="00696A74">
      <w:r w:rsidRPr="00E52DE0">
        <w:t xml:space="preserve">The number of </w:t>
      </w:r>
      <w:r w:rsidR="00790F12" w:rsidRPr="00E52DE0">
        <w:t xml:space="preserve">enterprises </w:t>
      </w:r>
      <w:r w:rsidRPr="00E52DE0">
        <w:t>in a particular tabulation cell is not considered a disclosure</w:t>
      </w:r>
      <w:r w:rsidR="00D565F5" w:rsidRPr="00E52DE0">
        <w:t xml:space="preserve"> of confidential information</w:t>
      </w:r>
      <w:r w:rsidRPr="00E52DE0">
        <w:t xml:space="preserve">; therefore, this information may be released without the </w:t>
      </w:r>
      <w:r w:rsidR="00D565F5" w:rsidRPr="00E52DE0">
        <w:t>infusion</w:t>
      </w:r>
      <w:r w:rsidRPr="00E52DE0">
        <w:t xml:space="preserve"> of noise. For an introduction to the noise conf</w:t>
      </w:r>
      <w:r w:rsidR="002229EB" w:rsidRPr="00E52DE0">
        <w:t xml:space="preserve">identiality protection method, see </w:t>
      </w:r>
      <w:hyperlink r:id="rId29" w:history="1">
        <w:r w:rsidR="002229EB" w:rsidRPr="00E52DE0">
          <w:rPr>
            <w:rStyle w:val="Hyperlink"/>
          </w:rPr>
          <w:t>Using Noise for Disclosure Limitation of Establishment Tabular Data</w:t>
        </w:r>
      </w:hyperlink>
      <w:r w:rsidR="00AC1CF4">
        <w:t xml:space="preserve">  </w:t>
      </w:r>
      <w:r w:rsidRPr="00E52DE0">
        <w:t xml:space="preserve">by Timothy Evans, Laura Zayatz, and John Slanta in the Journal of Official Statistics (1998). </w:t>
      </w:r>
    </w:p>
    <w:p w:rsidR="004C61E6" w:rsidRPr="00E52DE0" w:rsidRDefault="004C61E6" w:rsidP="004C61E6">
      <w:pPr>
        <w:spacing w:before="100" w:beforeAutospacing="1" w:after="100" w:afterAutospacing="1"/>
        <w:rPr>
          <w:rFonts w:eastAsia="Times New Roman" w:cs="Times New Roman"/>
        </w:rPr>
      </w:pPr>
      <w:r w:rsidRPr="00E52DE0">
        <w:rPr>
          <w:rFonts w:eastAsia="Times New Roman" w:cs="Times New Roman"/>
          <w:b/>
          <w:bCs/>
        </w:rPr>
        <w:t>Unpublished Estimates</w:t>
      </w:r>
    </w:p>
    <w:p w:rsidR="004C61E6" w:rsidRPr="00E52DE0" w:rsidRDefault="004C61E6" w:rsidP="004C61E6">
      <w:pPr>
        <w:spacing w:before="100" w:beforeAutospacing="1" w:after="100" w:afterAutospacing="1"/>
      </w:pPr>
      <w:r w:rsidRPr="00E52DE0">
        <w:rPr>
          <w:rFonts w:eastAsia="Times New Roman" w:cs="Times New Roman"/>
        </w:rPr>
        <w:t xml:space="preserve">Estimates </w:t>
      </w:r>
      <w:r>
        <w:rPr>
          <w:rFonts w:eastAsia="Times New Roman" w:cs="Times New Roman"/>
        </w:rPr>
        <w:t>may be suppressed because of high sampling variability, poor response quality, or other concerns about the estimate’s quality</w:t>
      </w:r>
      <w:r w:rsidRPr="00E52DE0">
        <w:rPr>
          <w:rFonts w:eastAsia="Times New Roman" w:cs="Times New Roman"/>
        </w:rPr>
        <w:t>.  Some of these suppressed estimates can be derived indirectly from the ESP tables by subtracting published estimates from their respective totals. However, the (unpublished) estimates obtained by such subtraction would be subject to poor response, high sampling variability, or other factors that may make them potentially misleading.  Estimates derived in this manner should not be attributed to the Census Bureau. Individuals who use estimates in these tables to create new estimates should cite the Census Bureau as the source of only the original estimates.</w:t>
      </w:r>
    </w:p>
    <w:p w:rsidR="008D33D3" w:rsidRDefault="008D33D3">
      <w:pPr>
        <w:rPr>
          <w:b/>
          <w:caps/>
          <w:sz w:val="24"/>
          <w:szCs w:val="24"/>
        </w:rPr>
      </w:pPr>
      <w:r>
        <w:rPr>
          <w:b/>
          <w:caps/>
          <w:sz w:val="24"/>
          <w:szCs w:val="24"/>
        </w:rPr>
        <w:br w:type="page"/>
      </w:r>
    </w:p>
    <w:p w:rsidR="00800A81" w:rsidRPr="00E52DE0" w:rsidRDefault="00800A81" w:rsidP="00800A81">
      <w:pPr>
        <w:rPr>
          <w:b/>
          <w:caps/>
          <w:sz w:val="24"/>
          <w:szCs w:val="24"/>
        </w:rPr>
      </w:pPr>
      <w:r w:rsidRPr="00E52DE0">
        <w:rPr>
          <w:b/>
          <w:caps/>
          <w:sz w:val="24"/>
          <w:szCs w:val="24"/>
        </w:rPr>
        <w:lastRenderedPageBreak/>
        <w:t>Data Product Comparability</w:t>
      </w:r>
    </w:p>
    <w:p w:rsidR="004D666F" w:rsidRPr="00E52DE0" w:rsidRDefault="004D666F" w:rsidP="001F51A6">
      <w:pPr>
        <w:rPr>
          <w:b/>
        </w:rPr>
      </w:pPr>
      <w:r w:rsidRPr="00E52DE0">
        <w:rPr>
          <w:b/>
        </w:rPr>
        <w:t>Comparability with Prior ESP Publications</w:t>
      </w:r>
    </w:p>
    <w:p w:rsidR="001F51A6" w:rsidRPr="00E52DE0" w:rsidRDefault="001F51A6" w:rsidP="001F51A6">
      <w:r w:rsidRPr="00E52DE0">
        <w:t>The 2011 and 2007 ESP publications were prototypes and were produced for evaluation and comment by data users. Data users should exercise great care when comparing these data with the 2012 published data.  There are several reasons</w:t>
      </w:r>
      <w:r w:rsidR="00693AA4" w:rsidRPr="00E52DE0">
        <w:t xml:space="preserve"> for this</w:t>
      </w:r>
      <w:r w:rsidRPr="00E52DE0">
        <w:t>:</w:t>
      </w:r>
    </w:p>
    <w:p w:rsidR="001F51A6" w:rsidRPr="00E52DE0" w:rsidRDefault="003D5724" w:rsidP="00800A81">
      <w:pPr>
        <w:pStyle w:val="ListParagraph"/>
        <w:numPr>
          <w:ilvl w:val="0"/>
          <w:numId w:val="13"/>
        </w:numPr>
        <w:ind w:left="360"/>
      </w:pPr>
      <w:r w:rsidRPr="00E52DE0">
        <w:t>The 2007 and 2011 publications used the 2007 NAICS vintage.  The 2012 publications use the 2012 NAICS vintage.</w:t>
      </w:r>
      <w:r w:rsidR="003C6180" w:rsidRPr="00E52DE0">
        <w:t xml:space="preserve">  See the NAICS Comparability section for a discussion of the NAICS changes between 2007 and 2012.</w:t>
      </w:r>
    </w:p>
    <w:p w:rsidR="003D5724" w:rsidRPr="00E52DE0" w:rsidRDefault="003D5724" w:rsidP="00800A81">
      <w:pPr>
        <w:pStyle w:val="ListParagraph"/>
        <w:numPr>
          <w:ilvl w:val="0"/>
          <w:numId w:val="13"/>
        </w:numPr>
        <w:ind w:left="360"/>
      </w:pPr>
      <w:r w:rsidRPr="00E52DE0">
        <w:t xml:space="preserve">The 2007 and 2011 publications used the Enterprise Classification System for classifying enterprises to an industry.  </w:t>
      </w:r>
      <w:r w:rsidR="001F51A6" w:rsidRPr="00E52DE0">
        <w:t xml:space="preserve">See the description of the </w:t>
      </w:r>
      <w:hyperlink r:id="rId30" w:history="1">
        <w:r w:rsidR="002229EB" w:rsidRPr="00E52DE0">
          <w:rPr>
            <w:rStyle w:val="Hyperlink"/>
          </w:rPr>
          <w:t>Enterprise Classification System (ECS) Categories and Corresponding Establishment NAICS Industries</w:t>
        </w:r>
      </w:hyperlink>
      <w:r w:rsidR="002229EB" w:rsidRPr="00E52DE0">
        <w:t xml:space="preserve"> </w:t>
      </w:r>
      <w:r w:rsidR="001F51A6" w:rsidRPr="00E52DE0">
        <w:t xml:space="preserve">for further information.  </w:t>
      </w:r>
      <w:r w:rsidRPr="00E52DE0">
        <w:t xml:space="preserve">The 2012 ESP uses the standard (2012) NAICS codes.  </w:t>
      </w:r>
      <w:r w:rsidR="001F51A6" w:rsidRPr="00E52DE0">
        <w:t>The</w:t>
      </w:r>
      <w:r w:rsidRPr="00E52DE0">
        <w:t xml:space="preserve"> most detailed level of </w:t>
      </w:r>
      <w:r w:rsidR="001F51A6" w:rsidRPr="00E52DE0">
        <w:t>industry</w:t>
      </w:r>
      <w:r w:rsidRPr="00E52DE0">
        <w:t xml:space="preserve"> classification assigned to an enterprise </w:t>
      </w:r>
      <w:r w:rsidR="001F51A6" w:rsidRPr="00E52DE0">
        <w:t xml:space="preserve">in 2012 </w:t>
      </w:r>
      <w:r w:rsidRPr="00E52DE0">
        <w:t>is the 4-digit NAICS.</w:t>
      </w:r>
    </w:p>
    <w:p w:rsidR="00E172EA" w:rsidRPr="00E52DE0" w:rsidRDefault="00E172EA" w:rsidP="00800A81">
      <w:pPr>
        <w:pStyle w:val="ListParagraph"/>
        <w:numPr>
          <w:ilvl w:val="0"/>
          <w:numId w:val="13"/>
        </w:numPr>
        <w:ind w:left="360"/>
      </w:pPr>
      <w:r w:rsidRPr="00E52DE0">
        <w:t>Enterprises present in more than one survey year were not necessarily classified in the same industry from one survey year to the next.</w:t>
      </w:r>
    </w:p>
    <w:p w:rsidR="001F51A6" w:rsidRPr="00E52DE0" w:rsidRDefault="001F51A6" w:rsidP="00800A81">
      <w:pPr>
        <w:pStyle w:val="ListParagraph"/>
        <w:numPr>
          <w:ilvl w:val="0"/>
          <w:numId w:val="13"/>
        </w:numPr>
        <w:ind w:left="360"/>
      </w:pPr>
      <w:r w:rsidRPr="00E52DE0">
        <w:t xml:space="preserve">The 2007 and 2011 ESP samples were non-probability samples and were not designed to represent the entire universe of in-scope enterprises.  The </w:t>
      </w:r>
      <w:r w:rsidR="003C6180" w:rsidRPr="00E52DE0">
        <w:t>2012 ESP sample is a probability sample and the estimates produced from it do reflect the entire in-scope universe.</w:t>
      </w:r>
    </w:p>
    <w:p w:rsidR="00E172EA" w:rsidRPr="00E52DE0" w:rsidRDefault="00E172EA" w:rsidP="00800A81">
      <w:pPr>
        <w:pStyle w:val="ListParagraph"/>
        <w:numPr>
          <w:ilvl w:val="0"/>
          <w:numId w:val="13"/>
        </w:numPr>
        <w:ind w:left="360"/>
      </w:pPr>
      <w:r w:rsidRPr="00E52DE0">
        <w:t>The 2011 ESP sample consisted of 24,055 large (employment &gt; 250) multi-establishment enterprises only.  The 2012 ESP sample of 261,106 contained both single and multi-establishment enterprises.</w:t>
      </w:r>
    </w:p>
    <w:p w:rsidR="00C83DFC" w:rsidRPr="00E52DE0" w:rsidRDefault="00C83DFC" w:rsidP="00800A81">
      <w:pPr>
        <w:pStyle w:val="ListParagraph"/>
        <w:numPr>
          <w:ilvl w:val="0"/>
          <w:numId w:val="13"/>
        </w:numPr>
        <w:ind w:left="360"/>
      </w:pPr>
      <w:r w:rsidRPr="00E52DE0">
        <w:t xml:space="preserve">The 2012 ESP was able to make use of </w:t>
      </w:r>
      <w:r w:rsidR="00106FDD" w:rsidRPr="00E52DE0">
        <w:t xml:space="preserve">some </w:t>
      </w:r>
      <w:r w:rsidRPr="00E52DE0">
        <w:t xml:space="preserve">2012 Economic Census </w:t>
      </w:r>
      <w:r w:rsidR="00CE44FD" w:rsidRPr="00E52DE0">
        <w:t xml:space="preserve">data </w:t>
      </w:r>
      <w:r w:rsidRPr="00E52DE0">
        <w:t>for both imputation and evaluation purposes.</w:t>
      </w:r>
    </w:p>
    <w:p w:rsidR="00B247D1" w:rsidRDefault="00B247D1" w:rsidP="00B247D1">
      <w:pPr>
        <w:pStyle w:val="ListParagraph"/>
        <w:ind w:left="360" w:hanging="360"/>
      </w:pPr>
    </w:p>
    <w:p w:rsidR="00B247D1" w:rsidRDefault="00B247D1" w:rsidP="00C52F60">
      <w:pPr>
        <w:pStyle w:val="ListParagraph"/>
        <w:ind w:left="360" w:hanging="360"/>
      </w:pPr>
      <w:r w:rsidRPr="00E52DE0">
        <w:t>Table 6 provides a summary of these differences.</w:t>
      </w:r>
      <w:r>
        <w:br w:type="page"/>
      </w:r>
    </w:p>
    <w:p w:rsidR="00CE3297" w:rsidRPr="00E52DE0" w:rsidRDefault="00CE3297" w:rsidP="00CE3297">
      <w:pPr>
        <w:spacing w:after="0"/>
        <w:rPr>
          <w:b/>
          <w:i/>
        </w:rPr>
      </w:pPr>
      <w:r w:rsidRPr="00E52DE0">
        <w:rPr>
          <w:b/>
          <w:i/>
        </w:rPr>
        <w:lastRenderedPageBreak/>
        <w:t>Table 6: Comparability of 2011 and 2012 ESP Publications</w:t>
      </w:r>
    </w:p>
    <w:tbl>
      <w:tblPr>
        <w:tblStyle w:val="TableGrid"/>
        <w:tblW w:w="10008" w:type="dxa"/>
        <w:tblLook w:val="04A0" w:firstRow="1" w:lastRow="0" w:firstColumn="1" w:lastColumn="0" w:noHBand="0" w:noVBand="1"/>
      </w:tblPr>
      <w:tblGrid>
        <w:gridCol w:w="1638"/>
        <w:gridCol w:w="2790"/>
        <w:gridCol w:w="2790"/>
        <w:gridCol w:w="2790"/>
      </w:tblGrid>
      <w:tr w:rsidR="00CE3297" w:rsidRPr="00E52DE0" w:rsidTr="00CE3297">
        <w:tc>
          <w:tcPr>
            <w:tcW w:w="1638" w:type="dxa"/>
            <w:tcBorders>
              <w:bottom w:val="double" w:sz="4" w:space="0" w:color="auto"/>
            </w:tcBorders>
            <w:shd w:val="clear" w:color="auto" w:fill="D9D9D9" w:themeFill="background1" w:themeFillShade="D9"/>
          </w:tcPr>
          <w:p w:rsidR="00CE3297" w:rsidRPr="00E52DE0" w:rsidRDefault="00CE3297" w:rsidP="00CE3297">
            <w:pPr>
              <w:jc w:val="center"/>
              <w:rPr>
                <w:b/>
                <w:sz w:val="24"/>
                <w:szCs w:val="24"/>
              </w:rPr>
            </w:pPr>
            <w:r w:rsidRPr="00E52DE0">
              <w:rPr>
                <w:b/>
                <w:sz w:val="24"/>
                <w:szCs w:val="24"/>
              </w:rPr>
              <w:t>Topic</w:t>
            </w:r>
          </w:p>
        </w:tc>
        <w:tc>
          <w:tcPr>
            <w:tcW w:w="2790" w:type="dxa"/>
            <w:tcBorders>
              <w:bottom w:val="double" w:sz="4" w:space="0" w:color="auto"/>
            </w:tcBorders>
            <w:shd w:val="clear" w:color="auto" w:fill="D9D9D9" w:themeFill="background1" w:themeFillShade="D9"/>
          </w:tcPr>
          <w:p w:rsidR="00CE3297" w:rsidRPr="00E52DE0" w:rsidRDefault="00CE3297" w:rsidP="00CE3297">
            <w:pPr>
              <w:jc w:val="center"/>
              <w:rPr>
                <w:b/>
                <w:sz w:val="24"/>
                <w:szCs w:val="24"/>
              </w:rPr>
            </w:pPr>
            <w:r w:rsidRPr="00E52DE0">
              <w:rPr>
                <w:b/>
                <w:sz w:val="24"/>
                <w:szCs w:val="24"/>
              </w:rPr>
              <w:t>2011</w:t>
            </w:r>
          </w:p>
        </w:tc>
        <w:tc>
          <w:tcPr>
            <w:tcW w:w="2790" w:type="dxa"/>
            <w:tcBorders>
              <w:bottom w:val="double" w:sz="4" w:space="0" w:color="auto"/>
            </w:tcBorders>
            <w:shd w:val="clear" w:color="auto" w:fill="D9D9D9" w:themeFill="background1" w:themeFillShade="D9"/>
          </w:tcPr>
          <w:p w:rsidR="00CE3297" w:rsidRPr="00E52DE0" w:rsidRDefault="00CE3297" w:rsidP="00CE3297">
            <w:pPr>
              <w:jc w:val="center"/>
              <w:rPr>
                <w:b/>
                <w:sz w:val="24"/>
                <w:szCs w:val="24"/>
              </w:rPr>
            </w:pPr>
            <w:r w:rsidRPr="00E52DE0">
              <w:rPr>
                <w:b/>
                <w:sz w:val="24"/>
                <w:szCs w:val="24"/>
              </w:rPr>
              <w:t>2012</w:t>
            </w:r>
          </w:p>
        </w:tc>
        <w:tc>
          <w:tcPr>
            <w:tcW w:w="2790" w:type="dxa"/>
            <w:tcBorders>
              <w:bottom w:val="double" w:sz="4" w:space="0" w:color="auto"/>
            </w:tcBorders>
            <w:shd w:val="clear" w:color="auto" w:fill="D9D9D9" w:themeFill="background1" w:themeFillShade="D9"/>
          </w:tcPr>
          <w:p w:rsidR="00CE3297" w:rsidRPr="00E52DE0" w:rsidRDefault="00CE3297" w:rsidP="00CE3297">
            <w:pPr>
              <w:jc w:val="center"/>
              <w:rPr>
                <w:b/>
                <w:sz w:val="24"/>
                <w:szCs w:val="24"/>
              </w:rPr>
            </w:pPr>
            <w:r w:rsidRPr="00E52DE0">
              <w:rPr>
                <w:b/>
                <w:sz w:val="24"/>
                <w:szCs w:val="24"/>
              </w:rPr>
              <w:t>Issues</w:t>
            </w:r>
          </w:p>
        </w:tc>
      </w:tr>
      <w:tr w:rsidR="00CE3297" w:rsidRPr="00E52DE0" w:rsidTr="00CE3297">
        <w:tc>
          <w:tcPr>
            <w:tcW w:w="1638" w:type="dxa"/>
            <w:tcBorders>
              <w:top w:val="double" w:sz="4" w:space="0" w:color="auto"/>
            </w:tcBorders>
          </w:tcPr>
          <w:p w:rsidR="00CE3297" w:rsidRPr="00E52DE0" w:rsidRDefault="00CE3297" w:rsidP="00CE3297">
            <w:r w:rsidRPr="00E52DE0">
              <w:t>Classification Scheme</w:t>
            </w:r>
          </w:p>
        </w:tc>
        <w:tc>
          <w:tcPr>
            <w:tcW w:w="2790" w:type="dxa"/>
            <w:tcBorders>
              <w:top w:val="double" w:sz="4" w:space="0" w:color="auto"/>
            </w:tcBorders>
          </w:tcPr>
          <w:p w:rsidR="00CE3297" w:rsidRPr="00E52DE0" w:rsidRDefault="00CE3297" w:rsidP="00CE3297">
            <w:r w:rsidRPr="00E52DE0">
              <w:t>Enterprise Classification System (ECS)</w:t>
            </w:r>
          </w:p>
        </w:tc>
        <w:tc>
          <w:tcPr>
            <w:tcW w:w="2790" w:type="dxa"/>
            <w:tcBorders>
              <w:top w:val="double" w:sz="4" w:space="0" w:color="auto"/>
            </w:tcBorders>
          </w:tcPr>
          <w:p w:rsidR="00CE3297" w:rsidRPr="00E52DE0" w:rsidRDefault="00CE3297" w:rsidP="00CE3297">
            <w:r w:rsidRPr="00E52DE0">
              <w:t>NAICS (2012 vintage)</w:t>
            </w:r>
          </w:p>
        </w:tc>
        <w:tc>
          <w:tcPr>
            <w:tcW w:w="2790" w:type="dxa"/>
            <w:tcBorders>
              <w:top w:val="double" w:sz="4" w:space="0" w:color="auto"/>
            </w:tcBorders>
          </w:tcPr>
          <w:p w:rsidR="00CE3297" w:rsidRPr="00E52DE0" w:rsidRDefault="002B2F60" w:rsidP="00C52F60">
            <w:r w:rsidRPr="00E52DE0">
              <w:t>Comparable at the sector level</w:t>
            </w:r>
            <w:r w:rsidR="00C52F60">
              <w:t>.</w:t>
            </w:r>
          </w:p>
        </w:tc>
      </w:tr>
      <w:tr w:rsidR="00CE3297" w:rsidRPr="00E52DE0" w:rsidTr="00CE3297">
        <w:tc>
          <w:tcPr>
            <w:tcW w:w="1638" w:type="dxa"/>
          </w:tcPr>
          <w:p w:rsidR="00CE3297" w:rsidRPr="00E52DE0" w:rsidRDefault="00CE3297" w:rsidP="00CE3297">
            <w:r w:rsidRPr="00E52DE0">
              <w:t>Enterprise classification</w:t>
            </w:r>
          </w:p>
        </w:tc>
        <w:tc>
          <w:tcPr>
            <w:tcW w:w="2790" w:type="dxa"/>
          </w:tcPr>
          <w:p w:rsidR="00CE3297" w:rsidRPr="00E52DE0" w:rsidRDefault="00CE3297" w:rsidP="00CE3297">
            <w:r w:rsidRPr="00E52DE0">
              <w:t>Based on 2011 administrative payroll</w:t>
            </w:r>
          </w:p>
        </w:tc>
        <w:tc>
          <w:tcPr>
            <w:tcW w:w="2790" w:type="dxa"/>
          </w:tcPr>
          <w:p w:rsidR="00CE3297" w:rsidRPr="00E52DE0" w:rsidRDefault="00CE3297" w:rsidP="00CE3297">
            <w:r w:rsidRPr="00E52DE0">
              <w:t>Based on 2012 administrative payroll</w:t>
            </w:r>
          </w:p>
        </w:tc>
        <w:tc>
          <w:tcPr>
            <w:tcW w:w="2790" w:type="dxa"/>
          </w:tcPr>
          <w:p w:rsidR="00CE3297" w:rsidRPr="00E52DE0" w:rsidRDefault="00CE3297" w:rsidP="00CE3297">
            <w:r w:rsidRPr="00E52DE0">
              <w:t>Enterprises included in both years were not necessarily classified into the same industry from one year to the next.</w:t>
            </w:r>
          </w:p>
        </w:tc>
      </w:tr>
      <w:tr w:rsidR="00CE3297" w:rsidRPr="00E52DE0" w:rsidTr="00CE3297">
        <w:tc>
          <w:tcPr>
            <w:tcW w:w="1638" w:type="dxa"/>
          </w:tcPr>
          <w:p w:rsidR="00CE3297" w:rsidRPr="00E52DE0" w:rsidRDefault="00CE3297" w:rsidP="00CE3297">
            <w:r w:rsidRPr="00E52DE0">
              <w:t>Sample size</w:t>
            </w:r>
          </w:p>
        </w:tc>
        <w:tc>
          <w:tcPr>
            <w:tcW w:w="2790" w:type="dxa"/>
          </w:tcPr>
          <w:p w:rsidR="00CE3297" w:rsidRPr="00E52DE0" w:rsidRDefault="00CE3297" w:rsidP="00CE3297">
            <w:r w:rsidRPr="00E52DE0">
              <w:t>24,055</w:t>
            </w:r>
            <w:r w:rsidR="00460B1D">
              <w:t xml:space="preserve"> enterprises</w:t>
            </w:r>
          </w:p>
        </w:tc>
        <w:tc>
          <w:tcPr>
            <w:tcW w:w="2790" w:type="dxa"/>
          </w:tcPr>
          <w:p w:rsidR="00CE3297" w:rsidRPr="00E52DE0" w:rsidRDefault="00CE3297" w:rsidP="00CE3297">
            <w:r w:rsidRPr="00E52DE0">
              <w:t>261,106</w:t>
            </w:r>
            <w:r w:rsidR="00460B1D">
              <w:t xml:space="preserve"> enterprises</w:t>
            </w:r>
          </w:p>
        </w:tc>
        <w:tc>
          <w:tcPr>
            <w:tcW w:w="2790" w:type="dxa"/>
          </w:tcPr>
          <w:p w:rsidR="00CE3297" w:rsidRPr="00E52DE0" w:rsidRDefault="00CE3297" w:rsidP="00CE3297"/>
        </w:tc>
      </w:tr>
      <w:tr w:rsidR="00CE3297" w:rsidRPr="00E52DE0" w:rsidTr="00CE3297">
        <w:tc>
          <w:tcPr>
            <w:tcW w:w="1638" w:type="dxa"/>
          </w:tcPr>
          <w:p w:rsidR="00CE3297" w:rsidRPr="00E52DE0" w:rsidRDefault="00CE3297" w:rsidP="00CE3297">
            <w:r w:rsidRPr="00E52DE0">
              <w:t>Sample design</w:t>
            </w:r>
          </w:p>
        </w:tc>
        <w:tc>
          <w:tcPr>
            <w:tcW w:w="2790" w:type="dxa"/>
          </w:tcPr>
          <w:p w:rsidR="00CE3297" w:rsidRPr="00E52DE0" w:rsidRDefault="00CE3297" w:rsidP="00CE3297">
            <w:pPr>
              <w:pStyle w:val="ListParagraph"/>
              <w:numPr>
                <w:ilvl w:val="0"/>
                <w:numId w:val="18"/>
              </w:numPr>
              <w:ind w:left="342" w:hanging="342"/>
            </w:pPr>
            <w:r w:rsidRPr="00E52DE0">
              <w:t xml:space="preserve">Non-probability, </w:t>
            </w:r>
          </w:p>
          <w:p w:rsidR="00CE3297" w:rsidRPr="00E52DE0" w:rsidRDefault="00CE3297" w:rsidP="00CE3297">
            <w:pPr>
              <w:pStyle w:val="ListParagraph"/>
              <w:numPr>
                <w:ilvl w:val="0"/>
                <w:numId w:val="18"/>
              </w:numPr>
              <w:ind w:left="342" w:hanging="342"/>
            </w:pPr>
            <w:r w:rsidRPr="00E52DE0">
              <w:t>Contains only large, multi-establishment enterprises (at least 250 employees)</w:t>
            </w:r>
          </w:p>
          <w:p w:rsidR="00CE3297" w:rsidRPr="00E52DE0" w:rsidRDefault="00CE3297" w:rsidP="00CE3297">
            <w:pPr>
              <w:pStyle w:val="ListParagraph"/>
              <w:numPr>
                <w:ilvl w:val="0"/>
                <w:numId w:val="18"/>
              </w:numPr>
              <w:ind w:left="342" w:hanging="342"/>
            </w:pPr>
            <w:r w:rsidRPr="00E52DE0">
              <w:t>Not representative</w:t>
            </w:r>
          </w:p>
        </w:tc>
        <w:tc>
          <w:tcPr>
            <w:tcW w:w="2790" w:type="dxa"/>
          </w:tcPr>
          <w:p w:rsidR="00CE3297" w:rsidRPr="00E52DE0" w:rsidRDefault="00CE3297" w:rsidP="00CE3297">
            <w:pPr>
              <w:pStyle w:val="ListParagraph"/>
              <w:numPr>
                <w:ilvl w:val="0"/>
                <w:numId w:val="19"/>
              </w:numPr>
              <w:ind w:left="342" w:hanging="342"/>
            </w:pPr>
            <w:r w:rsidRPr="00E52DE0">
              <w:t>Probability sample, stratified by industry</w:t>
            </w:r>
          </w:p>
          <w:p w:rsidR="00CE3297" w:rsidRPr="00E52DE0" w:rsidRDefault="00CE3297" w:rsidP="00CE3297">
            <w:pPr>
              <w:pStyle w:val="ListParagraph"/>
              <w:numPr>
                <w:ilvl w:val="0"/>
                <w:numId w:val="19"/>
              </w:numPr>
              <w:ind w:left="342" w:hanging="342"/>
            </w:pPr>
            <w:r w:rsidRPr="00E52DE0">
              <w:t>Includes both multi and single establishment enterprises</w:t>
            </w:r>
          </w:p>
          <w:p w:rsidR="00CE3297" w:rsidRPr="00E52DE0" w:rsidRDefault="00CE3297" w:rsidP="00CE3297">
            <w:pPr>
              <w:pStyle w:val="ListParagraph"/>
              <w:numPr>
                <w:ilvl w:val="0"/>
                <w:numId w:val="19"/>
              </w:numPr>
              <w:ind w:left="342" w:hanging="342"/>
            </w:pPr>
            <w:r w:rsidRPr="00E52DE0">
              <w:t>Representative</w:t>
            </w:r>
          </w:p>
        </w:tc>
        <w:tc>
          <w:tcPr>
            <w:tcW w:w="2790" w:type="dxa"/>
          </w:tcPr>
          <w:p w:rsidR="00CE3297" w:rsidRPr="00E52DE0" w:rsidRDefault="00CE3297" w:rsidP="00CE3297">
            <w:r w:rsidRPr="00E52DE0">
              <w:t>Not comparable</w:t>
            </w:r>
          </w:p>
        </w:tc>
      </w:tr>
      <w:tr w:rsidR="00CE3297" w:rsidRPr="00E52DE0" w:rsidTr="00CE3297">
        <w:tc>
          <w:tcPr>
            <w:tcW w:w="1638" w:type="dxa"/>
          </w:tcPr>
          <w:p w:rsidR="00CE3297" w:rsidRPr="00E52DE0" w:rsidRDefault="00CE3297" w:rsidP="00CE3297">
            <w:r w:rsidRPr="00E52DE0">
              <w:t>Data sources</w:t>
            </w:r>
          </w:p>
        </w:tc>
        <w:tc>
          <w:tcPr>
            <w:tcW w:w="2790" w:type="dxa"/>
          </w:tcPr>
          <w:p w:rsidR="00CE3297" w:rsidRPr="00E52DE0" w:rsidRDefault="00CE3297" w:rsidP="00CE3297">
            <w:pPr>
              <w:pStyle w:val="ListParagraph"/>
              <w:numPr>
                <w:ilvl w:val="0"/>
                <w:numId w:val="20"/>
              </w:numPr>
              <w:ind w:left="342" w:hanging="342"/>
            </w:pPr>
            <w:r w:rsidRPr="00E52DE0">
              <w:t>Company Organization Survey questionnaire</w:t>
            </w:r>
          </w:p>
          <w:p w:rsidR="00CE3297" w:rsidRPr="00E52DE0" w:rsidRDefault="00CE3297" w:rsidP="00CE3297">
            <w:pPr>
              <w:pStyle w:val="ListParagraph"/>
              <w:numPr>
                <w:ilvl w:val="0"/>
                <w:numId w:val="20"/>
              </w:numPr>
              <w:ind w:left="342" w:hanging="342"/>
            </w:pPr>
            <w:r w:rsidRPr="00E52DE0">
              <w:t>Administrative data</w:t>
            </w:r>
          </w:p>
        </w:tc>
        <w:tc>
          <w:tcPr>
            <w:tcW w:w="2790" w:type="dxa"/>
          </w:tcPr>
          <w:p w:rsidR="00CE3297" w:rsidRPr="00E52DE0" w:rsidRDefault="00CE3297" w:rsidP="00CE3297">
            <w:pPr>
              <w:pStyle w:val="ListParagraph"/>
              <w:numPr>
                <w:ilvl w:val="0"/>
                <w:numId w:val="21"/>
              </w:numPr>
              <w:ind w:left="342"/>
            </w:pPr>
            <w:r w:rsidRPr="00E52DE0">
              <w:t>Company Organization Survey questionnaire</w:t>
            </w:r>
          </w:p>
          <w:p w:rsidR="00CE3297" w:rsidRPr="00E52DE0" w:rsidRDefault="00CE3297" w:rsidP="00CE3297">
            <w:pPr>
              <w:pStyle w:val="ListParagraph"/>
              <w:numPr>
                <w:ilvl w:val="0"/>
                <w:numId w:val="21"/>
              </w:numPr>
              <w:ind w:left="342"/>
            </w:pPr>
            <w:r w:rsidRPr="00E52DE0">
              <w:t>Administrative data</w:t>
            </w:r>
          </w:p>
          <w:p w:rsidR="00CE3297" w:rsidRPr="00E52DE0" w:rsidRDefault="00CE3297" w:rsidP="00CE3297">
            <w:pPr>
              <w:pStyle w:val="ListParagraph"/>
              <w:numPr>
                <w:ilvl w:val="0"/>
                <w:numId w:val="21"/>
              </w:numPr>
              <w:ind w:left="342"/>
            </w:pPr>
            <w:r w:rsidRPr="00E52DE0">
              <w:t>2012 Economic Census</w:t>
            </w:r>
          </w:p>
        </w:tc>
        <w:tc>
          <w:tcPr>
            <w:tcW w:w="2790" w:type="dxa"/>
          </w:tcPr>
          <w:p w:rsidR="00CE3297" w:rsidRPr="00E52DE0" w:rsidRDefault="00CE3297" w:rsidP="00CE3297">
            <w:r w:rsidRPr="00E52DE0">
              <w:t>In both years, most data comes from the COS questionnaire.</w:t>
            </w:r>
          </w:p>
        </w:tc>
      </w:tr>
      <w:tr w:rsidR="00CE3297" w:rsidRPr="00E52DE0" w:rsidTr="00CE3297">
        <w:tc>
          <w:tcPr>
            <w:tcW w:w="1638" w:type="dxa"/>
          </w:tcPr>
          <w:p w:rsidR="00CE3297" w:rsidRPr="00E52DE0" w:rsidRDefault="00CE3297" w:rsidP="00CE3297">
            <w:r w:rsidRPr="00E52DE0">
              <w:t>Estimates</w:t>
            </w:r>
          </w:p>
        </w:tc>
        <w:tc>
          <w:tcPr>
            <w:tcW w:w="2790" w:type="dxa"/>
          </w:tcPr>
          <w:p w:rsidR="00CE3297" w:rsidRPr="00E52DE0" w:rsidRDefault="00CE3297" w:rsidP="00CE3297">
            <w:pPr>
              <w:pStyle w:val="ListParagraph"/>
              <w:numPr>
                <w:ilvl w:val="0"/>
                <w:numId w:val="16"/>
              </w:numPr>
              <w:ind w:left="342" w:hanging="342"/>
            </w:pPr>
            <w:r w:rsidRPr="00E52DE0">
              <w:t xml:space="preserve">Simple sum of the data from the </w:t>
            </w:r>
            <w:r w:rsidRPr="00C52F60">
              <w:t>24,0</w:t>
            </w:r>
            <w:r w:rsidR="002B2F60" w:rsidRPr="00C52F60">
              <w:t>55</w:t>
            </w:r>
            <w:r w:rsidRPr="00E52DE0">
              <w:t xml:space="preserve"> enterprises</w:t>
            </w:r>
          </w:p>
          <w:p w:rsidR="00CE3297" w:rsidRPr="00E52DE0" w:rsidRDefault="00CE3297" w:rsidP="00CE3297">
            <w:pPr>
              <w:pStyle w:val="ListParagraph"/>
              <w:numPr>
                <w:ilvl w:val="0"/>
                <w:numId w:val="16"/>
              </w:numPr>
              <w:ind w:left="342" w:hanging="342"/>
            </w:pPr>
            <w:r w:rsidRPr="00E52DE0">
              <w:t>Total revenue: $19.6 tril</w:t>
            </w:r>
            <w:r w:rsidR="00EA3105">
              <w:t>lion</w:t>
            </w:r>
          </w:p>
        </w:tc>
        <w:tc>
          <w:tcPr>
            <w:tcW w:w="2790" w:type="dxa"/>
          </w:tcPr>
          <w:p w:rsidR="00CE3297" w:rsidRPr="00E52DE0" w:rsidRDefault="00CE3297" w:rsidP="00CE3297">
            <w:pPr>
              <w:pStyle w:val="ListParagraph"/>
              <w:numPr>
                <w:ilvl w:val="0"/>
                <w:numId w:val="17"/>
              </w:numPr>
              <w:ind w:left="342" w:hanging="342"/>
            </w:pPr>
            <w:r w:rsidRPr="00E52DE0">
              <w:t xml:space="preserve">Weighted sum of the sample </w:t>
            </w:r>
            <w:r w:rsidR="00460B1D">
              <w:t>enterprises</w:t>
            </w:r>
          </w:p>
          <w:p w:rsidR="00CE3297" w:rsidRPr="00E52DE0" w:rsidRDefault="00CE3297" w:rsidP="00CE3297">
            <w:pPr>
              <w:pStyle w:val="ListParagraph"/>
              <w:numPr>
                <w:ilvl w:val="0"/>
                <w:numId w:val="17"/>
              </w:numPr>
              <w:ind w:left="342" w:hanging="342"/>
            </w:pPr>
            <w:r w:rsidRPr="00E52DE0">
              <w:t>Total weighted revenue: $30.0 tril</w:t>
            </w:r>
            <w:r w:rsidR="00EA3105">
              <w:t>lion</w:t>
            </w:r>
          </w:p>
        </w:tc>
        <w:tc>
          <w:tcPr>
            <w:tcW w:w="2790" w:type="dxa"/>
          </w:tcPr>
          <w:p w:rsidR="00CE3297" w:rsidRPr="00E52DE0" w:rsidRDefault="00CE3297" w:rsidP="00CE3297">
            <w:r w:rsidRPr="00E52DE0">
              <w:t>Not  comparable</w:t>
            </w:r>
          </w:p>
        </w:tc>
      </w:tr>
      <w:tr w:rsidR="00CE3297" w:rsidRPr="00E52DE0" w:rsidTr="00CE3297">
        <w:tc>
          <w:tcPr>
            <w:tcW w:w="1638" w:type="dxa"/>
          </w:tcPr>
          <w:p w:rsidR="00CE3297" w:rsidRPr="00E52DE0" w:rsidRDefault="00CE3297" w:rsidP="00CE3297">
            <w:r w:rsidRPr="00E52DE0">
              <w:t>Royalty &amp; License Fee Detail</w:t>
            </w:r>
          </w:p>
        </w:tc>
        <w:tc>
          <w:tcPr>
            <w:tcW w:w="2790" w:type="dxa"/>
          </w:tcPr>
          <w:p w:rsidR="00CE3297" w:rsidRPr="00E52DE0" w:rsidRDefault="00CE3297" w:rsidP="00CE3297">
            <w:r w:rsidRPr="00E52DE0">
              <w:t>Five categories</w:t>
            </w:r>
          </w:p>
        </w:tc>
        <w:tc>
          <w:tcPr>
            <w:tcW w:w="2790" w:type="dxa"/>
          </w:tcPr>
          <w:p w:rsidR="00CE3297" w:rsidRPr="00E52DE0" w:rsidRDefault="00CE3297" w:rsidP="00CE3297">
            <w:r w:rsidRPr="00E52DE0">
              <w:t>Four categories (“Business format franchise fees” is combined with “Other”)</w:t>
            </w:r>
          </w:p>
        </w:tc>
        <w:tc>
          <w:tcPr>
            <w:tcW w:w="2790" w:type="dxa"/>
          </w:tcPr>
          <w:p w:rsidR="00CE3297" w:rsidRPr="00E52DE0" w:rsidRDefault="00CE3297" w:rsidP="00CE3297"/>
        </w:tc>
      </w:tr>
    </w:tbl>
    <w:p w:rsidR="00CE3297" w:rsidRPr="00E52DE0" w:rsidRDefault="00CE3297" w:rsidP="00CE3297">
      <w:pPr>
        <w:pStyle w:val="ListParagraph"/>
        <w:ind w:left="360"/>
      </w:pPr>
    </w:p>
    <w:p w:rsidR="004D666F" w:rsidRPr="00E52DE0" w:rsidRDefault="004D666F" w:rsidP="00032212">
      <w:pPr>
        <w:rPr>
          <w:b/>
        </w:rPr>
      </w:pPr>
      <w:r w:rsidRPr="00E52DE0">
        <w:rPr>
          <w:b/>
        </w:rPr>
        <w:t>Comparability with the 2012 Economic Census</w:t>
      </w:r>
    </w:p>
    <w:p w:rsidR="004D666F" w:rsidRPr="00E52DE0" w:rsidRDefault="003A2251" w:rsidP="00032212">
      <w:r w:rsidRPr="00E52DE0">
        <w:t xml:space="preserve">The 2012 ESP </w:t>
      </w:r>
      <w:r w:rsidR="00106FDD" w:rsidRPr="00E52DE0">
        <w:t xml:space="preserve">estimates are </w:t>
      </w:r>
      <w:r w:rsidRPr="00E52DE0">
        <w:t xml:space="preserve">not directly comparable to the 2012 Economic Census </w:t>
      </w:r>
      <w:r w:rsidR="00106FDD" w:rsidRPr="00E52DE0">
        <w:t xml:space="preserve">estimates </w:t>
      </w:r>
      <w:r w:rsidRPr="00E52DE0">
        <w:t>for several reasons.  These are:</w:t>
      </w:r>
    </w:p>
    <w:p w:rsidR="00D54B80" w:rsidRPr="00E52DE0" w:rsidRDefault="00D54B80" w:rsidP="00D54B80">
      <w:pPr>
        <w:pStyle w:val="ListParagraph"/>
        <w:numPr>
          <w:ilvl w:val="0"/>
          <w:numId w:val="15"/>
        </w:numPr>
        <w:ind w:left="360"/>
      </w:pPr>
      <w:r w:rsidRPr="00E52DE0">
        <w:t>The receipts, payroll, and employment of an enterprise in the ESP are all tabulated in a single NAICS industry.  In the Census, every individual establishment in a company is tabulated in its own industry.</w:t>
      </w:r>
      <w:r w:rsidR="006652B3" w:rsidRPr="00E52DE0">
        <w:t xml:space="preserve"> If Census data were used to classify an enterprise into an industry, it is possible that this classification would be different from the ESP industry classification (which is based on administrative data).</w:t>
      </w:r>
    </w:p>
    <w:p w:rsidR="00D54B80" w:rsidRPr="00E52DE0" w:rsidRDefault="002C642E" w:rsidP="00D54B80">
      <w:pPr>
        <w:pStyle w:val="ListParagraph"/>
        <w:numPr>
          <w:ilvl w:val="0"/>
          <w:numId w:val="15"/>
        </w:numPr>
        <w:ind w:left="360"/>
      </w:pPr>
      <w:r w:rsidRPr="00E52DE0">
        <w:t xml:space="preserve">Receipts </w:t>
      </w:r>
      <w:r w:rsidR="003F4FD1" w:rsidRPr="00E52DE0">
        <w:t xml:space="preserve">and other data, </w:t>
      </w:r>
      <w:r w:rsidRPr="00E52DE0">
        <w:t xml:space="preserve">reported </w:t>
      </w:r>
      <w:r w:rsidR="00106FDD" w:rsidRPr="00E52DE0">
        <w:t xml:space="preserve">in the ESP </w:t>
      </w:r>
      <w:r w:rsidRPr="00E52DE0">
        <w:t>at the e</w:t>
      </w:r>
      <w:r w:rsidR="00D54B80" w:rsidRPr="00E52DE0">
        <w:t>nterpris</w:t>
      </w:r>
      <w:r w:rsidRPr="00E52DE0">
        <w:t>e level</w:t>
      </w:r>
      <w:r w:rsidR="003F4FD1" w:rsidRPr="00E52DE0">
        <w:t>,</w:t>
      </w:r>
      <w:r w:rsidRPr="00E52DE0">
        <w:t xml:space="preserve"> may not exactly equal the sum of the receipts</w:t>
      </w:r>
      <w:r w:rsidR="003F4FD1" w:rsidRPr="00E52DE0">
        <w:t xml:space="preserve"> and other data</w:t>
      </w:r>
      <w:r w:rsidRPr="00E52DE0">
        <w:t xml:space="preserve"> of the individual </w:t>
      </w:r>
      <w:r w:rsidR="00106FDD" w:rsidRPr="00E52DE0">
        <w:t xml:space="preserve">Census </w:t>
      </w:r>
      <w:r w:rsidRPr="00E52DE0">
        <w:t>establishments.</w:t>
      </w:r>
    </w:p>
    <w:p w:rsidR="00F55EA7" w:rsidRPr="00E52DE0" w:rsidRDefault="00F55EA7" w:rsidP="00D54B80">
      <w:pPr>
        <w:pStyle w:val="ListParagraph"/>
        <w:numPr>
          <w:ilvl w:val="0"/>
          <w:numId w:val="15"/>
        </w:numPr>
        <w:ind w:left="360"/>
      </w:pPr>
      <w:r w:rsidRPr="00E52DE0">
        <w:t>Approximately 280,000 single</w:t>
      </w:r>
      <w:r w:rsidR="003A2251" w:rsidRPr="00E52DE0">
        <w:t>-</w:t>
      </w:r>
      <w:r w:rsidRPr="00E52DE0">
        <w:t>establishment enterprises that started business late in 2012 did not have had the opportunity to be included in the ESP sample though they were included in the Census.</w:t>
      </w:r>
    </w:p>
    <w:p w:rsidR="00F55EA7" w:rsidRPr="00E52DE0" w:rsidRDefault="00F55EA7" w:rsidP="00D54B80">
      <w:pPr>
        <w:pStyle w:val="ListParagraph"/>
        <w:numPr>
          <w:ilvl w:val="0"/>
          <w:numId w:val="15"/>
        </w:numPr>
        <w:ind w:left="360"/>
      </w:pPr>
      <w:r w:rsidRPr="00E52DE0">
        <w:t xml:space="preserve">Generally all multi-establishment enterprises are included in the ESP.  However, during the processing of the Economic Census some single-establishment enterprises </w:t>
      </w:r>
      <w:r w:rsidR="003A2251" w:rsidRPr="00E52DE0">
        <w:t>we</w:t>
      </w:r>
      <w:r w:rsidRPr="00E52DE0">
        <w:t>re</w:t>
      </w:r>
      <w:r w:rsidR="003A2251" w:rsidRPr="00E52DE0">
        <w:t xml:space="preserve"> converted to multi-</w:t>
      </w:r>
      <w:r w:rsidR="003A2251" w:rsidRPr="00E52DE0">
        <w:lastRenderedPageBreak/>
        <w:t xml:space="preserve">establishment enterprises based on their response to the Census questionnaire.  In 2012, this process created approximately 31,000 multi-establishment </w:t>
      </w:r>
      <w:r w:rsidR="00106FDD" w:rsidRPr="00E52DE0">
        <w:t xml:space="preserve">Census </w:t>
      </w:r>
      <w:r w:rsidR="003A2251" w:rsidRPr="00E52DE0">
        <w:t>enterprises.  Few of these were in the ESP sample.</w:t>
      </w:r>
    </w:p>
    <w:p w:rsidR="00032212" w:rsidRPr="00E52DE0" w:rsidRDefault="00032212" w:rsidP="00032212">
      <w:pPr>
        <w:rPr>
          <w:b/>
        </w:rPr>
      </w:pPr>
      <w:r w:rsidRPr="00E52DE0">
        <w:rPr>
          <w:b/>
        </w:rPr>
        <w:t>NAICS Comparability</w:t>
      </w:r>
    </w:p>
    <w:p w:rsidR="00032212" w:rsidRPr="00E52DE0" w:rsidRDefault="00032212" w:rsidP="00032212">
      <w:r w:rsidRPr="00E52DE0">
        <w:t xml:space="preserve">The data for most sectors as defined under the 2012 NAICS are completely comparable to 2007 NAICS. However, listed </w:t>
      </w:r>
      <w:r w:rsidR="0098440B">
        <w:t xml:space="preserve">in </w:t>
      </w:r>
      <w:r w:rsidR="00633C5F" w:rsidRPr="00633C5F">
        <w:t>T</w:t>
      </w:r>
      <w:r w:rsidR="0098440B" w:rsidRPr="00633C5F">
        <w:t>able 7</w:t>
      </w:r>
      <w:r w:rsidRPr="00E52DE0">
        <w:t xml:space="preserve"> are the </w:t>
      </w:r>
      <w:r w:rsidR="0030605D" w:rsidRPr="00E52DE0">
        <w:t>sectors that</w:t>
      </w:r>
      <w:r w:rsidRPr="00E52DE0">
        <w:t xml:space="preserve"> were </w:t>
      </w:r>
      <w:r w:rsidR="00CE44FD" w:rsidRPr="00E52DE0">
        <w:t>affected</w:t>
      </w:r>
      <w:r w:rsidRPr="00E52DE0">
        <w:t xml:space="preserve"> by the 2012 NAICS revision (along with a summary of the changes):</w:t>
      </w:r>
    </w:p>
    <w:p w:rsidR="007922A7" w:rsidRPr="00E52DE0" w:rsidRDefault="007922A7" w:rsidP="007922A7">
      <w:pPr>
        <w:spacing w:after="0"/>
        <w:rPr>
          <w:b/>
          <w:i/>
        </w:rPr>
      </w:pPr>
      <w:r w:rsidRPr="00E52DE0">
        <w:rPr>
          <w:b/>
          <w:i/>
        </w:rPr>
        <w:t>T</w:t>
      </w:r>
      <w:r w:rsidR="00771126" w:rsidRPr="00E52DE0">
        <w:rPr>
          <w:b/>
          <w:i/>
        </w:rPr>
        <w:t xml:space="preserve">able </w:t>
      </w:r>
      <w:r w:rsidR="00CE3297" w:rsidRPr="00E52DE0">
        <w:rPr>
          <w:b/>
          <w:i/>
        </w:rPr>
        <w:t>7</w:t>
      </w:r>
      <w:r w:rsidRPr="00E52DE0">
        <w:rPr>
          <w:b/>
          <w:i/>
        </w:rPr>
        <w:t>: Selected NAICS Changes Between 2007 and 2012</w:t>
      </w:r>
    </w:p>
    <w:tbl>
      <w:tblPr>
        <w:tblStyle w:val="TableGrid"/>
        <w:tblW w:w="0" w:type="auto"/>
        <w:tblInd w:w="108" w:type="dxa"/>
        <w:tblLook w:val="04A0" w:firstRow="1" w:lastRow="0" w:firstColumn="1" w:lastColumn="0" w:noHBand="0" w:noVBand="1"/>
      </w:tblPr>
      <w:tblGrid>
        <w:gridCol w:w="1617"/>
        <w:gridCol w:w="7650"/>
      </w:tblGrid>
      <w:tr w:rsidR="00032212" w:rsidRPr="00E52DE0" w:rsidTr="00032212">
        <w:trPr>
          <w:tblHeader/>
        </w:trPr>
        <w:tc>
          <w:tcPr>
            <w:tcW w:w="1617" w:type="dxa"/>
            <w:tcBorders>
              <w:bottom w:val="double" w:sz="4" w:space="0" w:color="auto"/>
            </w:tcBorders>
            <w:shd w:val="clear" w:color="auto" w:fill="D9D9D9" w:themeFill="background1" w:themeFillShade="D9"/>
          </w:tcPr>
          <w:p w:rsidR="00032212" w:rsidRPr="00E52DE0" w:rsidRDefault="00032212" w:rsidP="00032212">
            <w:pPr>
              <w:jc w:val="center"/>
              <w:rPr>
                <w:b/>
              </w:rPr>
            </w:pPr>
            <w:r w:rsidRPr="00E52DE0">
              <w:rPr>
                <w:b/>
              </w:rPr>
              <w:t>Sector</w:t>
            </w:r>
          </w:p>
        </w:tc>
        <w:tc>
          <w:tcPr>
            <w:tcW w:w="7650" w:type="dxa"/>
            <w:tcBorders>
              <w:bottom w:val="double" w:sz="4" w:space="0" w:color="auto"/>
            </w:tcBorders>
            <w:shd w:val="clear" w:color="auto" w:fill="D9D9D9" w:themeFill="background1" w:themeFillShade="D9"/>
          </w:tcPr>
          <w:p w:rsidR="00032212" w:rsidRPr="00E52DE0" w:rsidRDefault="007922A7" w:rsidP="00032212">
            <w:pPr>
              <w:jc w:val="center"/>
              <w:rPr>
                <w:b/>
              </w:rPr>
            </w:pPr>
            <w:r w:rsidRPr="00E52DE0">
              <w:rPr>
                <w:b/>
              </w:rPr>
              <w:t>NAICS Change</w:t>
            </w:r>
          </w:p>
        </w:tc>
      </w:tr>
      <w:tr w:rsidR="00032212" w:rsidRPr="00E52DE0" w:rsidTr="00032212">
        <w:trPr>
          <w:trHeight w:val="1313"/>
        </w:trPr>
        <w:tc>
          <w:tcPr>
            <w:tcW w:w="1617" w:type="dxa"/>
            <w:tcBorders>
              <w:top w:val="double" w:sz="4" w:space="0" w:color="auto"/>
            </w:tcBorders>
          </w:tcPr>
          <w:p w:rsidR="00032212" w:rsidRPr="00E52DE0" w:rsidRDefault="00032212" w:rsidP="00032212">
            <w:r w:rsidRPr="00E52DE0">
              <w:t xml:space="preserve">22 </w:t>
            </w:r>
          </w:p>
          <w:p w:rsidR="00032212" w:rsidRPr="00E52DE0" w:rsidRDefault="00032212" w:rsidP="00032212">
            <w:pPr>
              <w:rPr>
                <w:sz w:val="20"/>
                <w:szCs w:val="20"/>
              </w:rPr>
            </w:pPr>
            <w:r w:rsidRPr="00E52DE0">
              <w:rPr>
                <w:sz w:val="20"/>
                <w:szCs w:val="20"/>
              </w:rPr>
              <w:t>(Utilities)</w:t>
            </w:r>
          </w:p>
        </w:tc>
        <w:tc>
          <w:tcPr>
            <w:tcW w:w="7650" w:type="dxa"/>
            <w:tcBorders>
              <w:top w:val="double" w:sz="4" w:space="0" w:color="auto"/>
            </w:tcBorders>
          </w:tcPr>
          <w:p w:rsidR="00032212" w:rsidRPr="00E52DE0" w:rsidRDefault="00032212" w:rsidP="00032212">
            <w:pPr>
              <w:rPr>
                <w:sz w:val="20"/>
                <w:szCs w:val="20"/>
              </w:rPr>
            </w:pPr>
            <w:r w:rsidRPr="00E52DE0">
              <w:rPr>
                <w:sz w:val="20"/>
                <w:szCs w:val="20"/>
              </w:rPr>
              <w:t xml:space="preserve">2007 NAICS code 221119 (Other Electric Power Generation) was split into five 2012 NAICS codes: </w:t>
            </w:r>
          </w:p>
          <w:p w:rsidR="00032212" w:rsidRPr="00E52DE0" w:rsidRDefault="00032212" w:rsidP="00032212">
            <w:pPr>
              <w:pStyle w:val="ListParagraph"/>
              <w:numPr>
                <w:ilvl w:val="0"/>
                <w:numId w:val="2"/>
              </w:numPr>
              <w:ind w:left="342" w:hanging="342"/>
              <w:rPr>
                <w:sz w:val="20"/>
                <w:szCs w:val="20"/>
              </w:rPr>
            </w:pPr>
            <w:r w:rsidRPr="00E52DE0">
              <w:rPr>
                <w:sz w:val="20"/>
                <w:szCs w:val="20"/>
              </w:rPr>
              <w:t xml:space="preserve">221114 (Solar Electric Power Generation), </w:t>
            </w:r>
          </w:p>
          <w:p w:rsidR="00032212" w:rsidRPr="00E52DE0" w:rsidRDefault="00032212" w:rsidP="00032212">
            <w:pPr>
              <w:pStyle w:val="ListParagraph"/>
              <w:numPr>
                <w:ilvl w:val="0"/>
                <w:numId w:val="2"/>
              </w:numPr>
              <w:ind w:left="342" w:hanging="342"/>
              <w:rPr>
                <w:sz w:val="20"/>
                <w:szCs w:val="20"/>
              </w:rPr>
            </w:pPr>
            <w:r w:rsidRPr="00E52DE0">
              <w:rPr>
                <w:sz w:val="20"/>
                <w:szCs w:val="20"/>
              </w:rPr>
              <w:t xml:space="preserve">221115 (Wind Electric Power Generation), </w:t>
            </w:r>
          </w:p>
          <w:p w:rsidR="00032212" w:rsidRPr="00E52DE0" w:rsidRDefault="00032212" w:rsidP="00032212">
            <w:pPr>
              <w:pStyle w:val="ListParagraph"/>
              <w:numPr>
                <w:ilvl w:val="0"/>
                <w:numId w:val="2"/>
              </w:numPr>
              <w:ind w:left="342" w:hanging="342"/>
              <w:rPr>
                <w:sz w:val="20"/>
                <w:szCs w:val="20"/>
              </w:rPr>
            </w:pPr>
            <w:r w:rsidRPr="00E52DE0">
              <w:rPr>
                <w:sz w:val="20"/>
                <w:szCs w:val="20"/>
              </w:rPr>
              <w:t xml:space="preserve">221116 (Geothermal Electric Power Generation), </w:t>
            </w:r>
          </w:p>
          <w:p w:rsidR="00032212" w:rsidRPr="00E52DE0" w:rsidRDefault="00032212" w:rsidP="00032212">
            <w:pPr>
              <w:pStyle w:val="ListParagraph"/>
              <w:numPr>
                <w:ilvl w:val="0"/>
                <w:numId w:val="2"/>
              </w:numPr>
              <w:ind w:left="342" w:hanging="342"/>
              <w:rPr>
                <w:sz w:val="20"/>
                <w:szCs w:val="20"/>
              </w:rPr>
            </w:pPr>
            <w:r w:rsidRPr="00E52DE0">
              <w:rPr>
                <w:sz w:val="20"/>
                <w:szCs w:val="20"/>
              </w:rPr>
              <w:t xml:space="preserve">221117 (Biomass Electric Power Generation), and </w:t>
            </w:r>
          </w:p>
          <w:p w:rsidR="00032212" w:rsidRPr="00E52DE0" w:rsidRDefault="00032212" w:rsidP="00032212">
            <w:pPr>
              <w:pStyle w:val="ListParagraph"/>
              <w:numPr>
                <w:ilvl w:val="0"/>
                <w:numId w:val="2"/>
              </w:numPr>
              <w:ind w:left="342" w:hanging="342"/>
              <w:rPr>
                <w:sz w:val="20"/>
                <w:szCs w:val="20"/>
              </w:rPr>
            </w:pPr>
            <w:r w:rsidRPr="00E52DE0">
              <w:rPr>
                <w:sz w:val="20"/>
                <w:szCs w:val="20"/>
              </w:rPr>
              <w:t>221118 (Other Electric Power Generation)</w:t>
            </w:r>
          </w:p>
        </w:tc>
      </w:tr>
      <w:tr w:rsidR="00032212" w:rsidRPr="00E52DE0" w:rsidTr="00032212">
        <w:tc>
          <w:tcPr>
            <w:tcW w:w="1617" w:type="dxa"/>
          </w:tcPr>
          <w:p w:rsidR="00032212" w:rsidRPr="00E52DE0" w:rsidRDefault="00032212" w:rsidP="00032212">
            <w:pPr>
              <w:rPr>
                <w:sz w:val="20"/>
                <w:szCs w:val="20"/>
              </w:rPr>
            </w:pPr>
            <w:r w:rsidRPr="00E52DE0">
              <w:t xml:space="preserve">23 </w:t>
            </w:r>
            <w:r w:rsidRPr="00E52DE0">
              <w:rPr>
                <w:sz w:val="20"/>
                <w:szCs w:val="20"/>
              </w:rPr>
              <w:t>(Construction)</w:t>
            </w:r>
          </w:p>
        </w:tc>
        <w:tc>
          <w:tcPr>
            <w:tcW w:w="7650" w:type="dxa"/>
          </w:tcPr>
          <w:p w:rsidR="00032212" w:rsidRPr="00E52DE0" w:rsidRDefault="00032212" w:rsidP="00032212">
            <w:pPr>
              <w:rPr>
                <w:sz w:val="20"/>
                <w:szCs w:val="20"/>
              </w:rPr>
            </w:pPr>
            <w:r w:rsidRPr="00E52DE0">
              <w:rPr>
                <w:sz w:val="20"/>
                <w:szCs w:val="20"/>
              </w:rPr>
              <w:t>Selected activities from:</w:t>
            </w:r>
          </w:p>
          <w:p w:rsidR="00032212" w:rsidRPr="00E52DE0" w:rsidRDefault="00032212" w:rsidP="00032212">
            <w:pPr>
              <w:pStyle w:val="ListParagraph"/>
              <w:numPr>
                <w:ilvl w:val="0"/>
                <w:numId w:val="3"/>
              </w:numPr>
              <w:ind w:left="342" w:hanging="342"/>
              <w:rPr>
                <w:sz w:val="20"/>
                <w:szCs w:val="20"/>
              </w:rPr>
            </w:pPr>
            <w:r w:rsidRPr="00E52DE0">
              <w:rPr>
                <w:sz w:val="20"/>
                <w:szCs w:val="20"/>
              </w:rPr>
              <w:t xml:space="preserve">NAICS 238190 (Other Foundation, Structure, and Building Exterior Contractors), and </w:t>
            </w:r>
          </w:p>
          <w:p w:rsidR="00032212" w:rsidRPr="00E52DE0" w:rsidRDefault="00032212" w:rsidP="00032212">
            <w:pPr>
              <w:pStyle w:val="ListParagraph"/>
              <w:numPr>
                <w:ilvl w:val="0"/>
                <w:numId w:val="3"/>
              </w:numPr>
              <w:ind w:left="342" w:hanging="342"/>
              <w:rPr>
                <w:sz w:val="20"/>
                <w:szCs w:val="20"/>
              </w:rPr>
            </w:pPr>
            <w:r w:rsidRPr="00E52DE0">
              <w:rPr>
                <w:sz w:val="20"/>
                <w:szCs w:val="20"/>
              </w:rPr>
              <w:t>NAICS 238330 (Flooring Contractors)</w:t>
            </w:r>
          </w:p>
          <w:p w:rsidR="00032212" w:rsidRPr="00E52DE0" w:rsidRDefault="00032212" w:rsidP="00032212">
            <w:pPr>
              <w:ind w:left="342" w:hanging="342"/>
              <w:rPr>
                <w:sz w:val="20"/>
                <w:szCs w:val="20"/>
              </w:rPr>
            </w:pPr>
            <w:r w:rsidRPr="00E52DE0">
              <w:rPr>
                <w:sz w:val="20"/>
                <w:szCs w:val="20"/>
              </w:rPr>
              <w:t xml:space="preserve">were removed and consolidated in with </w:t>
            </w:r>
          </w:p>
          <w:p w:rsidR="00032212" w:rsidRPr="00E52DE0" w:rsidRDefault="00032212" w:rsidP="00032212">
            <w:pPr>
              <w:pStyle w:val="ListParagraph"/>
              <w:numPr>
                <w:ilvl w:val="0"/>
                <w:numId w:val="4"/>
              </w:numPr>
              <w:ind w:left="342" w:hanging="342"/>
              <w:rPr>
                <w:sz w:val="20"/>
                <w:szCs w:val="20"/>
              </w:rPr>
            </w:pPr>
            <w:r w:rsidRPr="00E52DE0">
              <w:rPr>
                <w:sz w:val="20"/>
                <w:szCs w:val="20"/>
              </w:rPr>
              <w:t>NAICS 238310 (Drywall and Foundation Contractors).</w:t>
            </w:r>
          </w:p>
        </w:tc>
      </w:tr>
      <w:tr w:rsidR="00032212" w:rsidRPr="00E52DE0" w:rsidTr="00032212">
        <w:tc>
          <w:tcPr>
            <w:tcW w:w="1617" w:type="dxa"/>
          </w:tcPr>
          <w:p w:rsidR="00032212" w:rsidRPr="00E52DE0" w:rsidRDefault="00032212" w:rsidP="00032212">
            <w:r w:rsidRPr="00E52DE0">
              <w:t>31-33</w:t>
            </w:r>
          </w:p>
          <w:p w:rsidR="00032212" w:rsidRPr="00E52DE0" w:rsidRDefault="00032212" w:rsidP="00032212">
            <w:pPr>
              <w:rPr>
                <w:sz w:val="20"/>
                <w:szCs w:val="20"/>
              </w:rPr>
            </w:pPr>
            <w:r w:rsidRPr="00E52DE0">
              <w:rPr>
                <w:sz w:val="20"/>
                <w:szCs w:val="20"/>
              </w:rPr>
              <w:t>(Manufacturing)</w:t>
            </w:r>
          </w:p>
        </w:tc>
        <w:tc>
          <w:tcPr>
            <w:tcW w:w="7650" w:type="dxa"/>
          </w:tcPr>
          <w:p w:rsidR="00032212" w:rsidRPr="00E52DE0" w:rsidRDefault="00032212" w:rsidP="00032212">
            <w:pPr>
              <w:rPr>
                <w:sz w:val="20"/>
                <w:szCs w:val="20"/>
              </w:rPr>
            </w:pPr>
            <w:r w:rsidRPr="00E52DE0">
              <w:rPr>
                <w:sz w:val="20"/>
                <w:szCs w:val="20"/>
              </w:rPr>
              <w:t>Over 100 individual 2007 NAICS codes were consolidated into new 2012 NAICS groupings. For a full list of these changes, see the 2012 NAICS Manual referenced above.</w:t>
            </w:r>
          </w:p>
        </w:tc>
      </w:tr>
      <w:tr w:rsidR="00032212" w:rsidRPr="00E52DE0" w:rsidTr="00032212">
        <w:tc>
          <w:tcPr>
            <w:tcW w:w="1617" w:type="dxa"/>
          </w:tcPr>
          <w:p w:rsidR="00032212" w:rsidRPr="00E52DE0" w:rsidRDefault="00032212" w:rsidP="00032212">
            <w:r w:rsidRPr="00E52DE0">
              <w:t xml:space="preserve">42 </w:t>
            </w:r>
          </w:p>
          <w:p w:rsidR="00032212" w:rsidRPr="00E52DE0" w:rsidRDefault="00032212" w:rsidP="00032212">
            <w:pPr>
              <w:rPr>
                <w:sz w:val="20"/>
                <w:szCs w:val="20"/>
              </w:rPr>
            </w:pPr>
            <w:r w:rsidRPr="00E52DE0">
              <w:rPr>
                <w:sz w:val="20"/>
                <w:szCs w:val="20"/>
              </w:rPr>
              <w:t>(Wholesale)</w:t>
            </w:r>
          </w:p>
        </w:tc>
        <w:tc>
          <w:tcPr>
            <w:tcW w:w="7650" w:type="dxa"/>
          </w:tcPr>
          <w:p w:rsidR="00032212" w:rsidRPr="00E52DE0" w:rsidRDefault="00032212" w:rsidP="00032212">
            <w:pPr>
              <w:pStyle w:val="ListParagraph"/>
              <w:numPr>
                <w:ilvl w:val="0"/>
                <w:numId w:val="4"/>
              </w:numPr>
              <w:ind w:left="342" w:hanging="342"/>
              <w:rPr>
                <w:sz w:val="20"/>
                <w:szCs w:val="20"/>
              </w:rPr>
            </w:pPr>
            <w:r w:rsidRPr="00E52DE0">
              <w:rPr>
                <w:sz w:val="20"/>
                <w:szCs w:val="20"/>
              </w:rPr>
              <w:t xml:space="preserve">Selected activities in 2007 NAICS (423620 Electrical and Electronic Appliance, Television, and Radio Set Merchant Wholesalers) were regrouped into 2012 NAICS 423720 (Plumbing and Heating Equipment and Supplies (Hydronics) Merchant Wholesalers). </w:t>
            </w:r>
          </w:p>
          <w:p w:rsidR="00032212" w:rsidRPr="00E52DE0" w:rsidRDefault="00032212" w:rsidP="00032212">
            <w:pPr>
              <w:pStyle w:val="ListParagraph"/>
              <w:numPr>
                <w:ilvl w:val="0"/>
                <w:numId w:val="4"/>
              </w:numPr>
              <w:ind w:left="342" w:hanging="342"/>
              <w:rPr>
                <w:sz w:val="20"/>
                <w:szCs w:val="20"/>
              </w:rPr>
            </w:pPr>
            <w:r w:rsidRPr="00E52DE0">
              <w:rPr>
                <w:sz w:val="20"/>
                <w:szCs w:val="20"/>
              </w:rPr>
              <w:t>Selected activities in 2007 NAICS 423720 (Plumbing and Heating Equipment and Supplies (Hydronics) Merchant Wholesalers) were regrouped into 2012 NAICS 423620 (Household Appliances, Electric Housewares, and Consumer Electronics Merchant Wholesalers).</w:t>
            </w:r>
          </w:p>
        </w:tc>
      </w:tr>
      <w:tr w:rsidR="00032212" w:rsidRPr="00E52DE0" w:rsidTr="00032212">
        <w:tc>
          <w:tcPr>
            <w:tcW w:w="1617" w:type="dxa"/>
          </w:tcPr>
          <w:p w:rsidR="00032212" w:rsidRPr="00E52DE0" w:rsidRDefault="00032212" w:rsidP="00032212">
            <w:r w:rsidRPr="00E52DE0">
              <w:t xml:space="preserve">44-45 </w:t>
            </w:r>
          </w:p>
          <w:p w:rsidR="00032212" w:rsidRPr="00E52DE0" w:rsidRDefault="00032212" w:rsidP="00032212">
            <w:pPr>
              <w:rPr>
                <w:sz w:val="20"/>
                <w:szCs w:val="20"/>
              </w:rPr>
            </w:pPr>
            <w:r w:rsidRPr="00E52DE0">
              <w:rPr>
                <w:sz w:val="20"/>
                <w:szCs w:val="20"/>
              </w:rPr>
              <w:t>(Retail Trade)</w:t>
            </w:r>
          </w:p>
        </w:tc>
        <w:tc>
          <w:tcPr>
            <w:tcW w:w="7650" w:type="dxa"/>
          </w:tcPr>
          <w:p w:rsidR="00032212" w:rsidRPr="00E52DE0" w:rsidRDefault="00032212" w:rsidP="00032212">
            <w:pPr>
              <w:rPr>
                <w:sz w:val="20"/>
                <w:szCs w:val="20"/>
              </w:rPr>
            </w:pPr>
            <w:r w:rsidRPr="00E52DE0">
              <w:rPr>
                <w:sz w:val="20"/>
                <w:szCs w:val="20"/>
              </w:rPr>
              <w:t xml:space="preserve">Ten individual 2007 NAICS codes were impacted by the 2012 NAICS revision, including </w:t>
            </w:r>
          </w:p>
          <w:p w:rsidR="00032212" w:rsidRPr="00E52DE0" w:rsidRDefault="00032212" w:rsidP="00032212">
            <w:pPr>
              <w:pStyle w:val="ListParagraph"/>
              <w:numPr>
                <w:ilvl w:val="0"/>
                <w:numId w:val="5"/>
              </w:numPr>
              <w:ind w:left="342" w:hanging="342"/>
              <w:rPr>
                <w:sz w:val="20"/>
                <w:szCs w:val="20"/>
              </w:rPr>
            </w:pPr>
            <w:r w:rsidRPr="00E52DE0">
              <w:rPr>
                <w:sz w:val="20"/>
                <w:szCs w:val="20"/>
              </w:rPr>
              <w:t xml:space="preserve">441221 Motorcycle, ATV, and Personal Watercraft Dealers, </w:t>
            </w:r>
          </w:p>
          <w:p w:rsidR="00032212" w:rsidRPr="00E52DE0" w:rsidRDefault="00032212" w:rsidP="00032212">
            <w:pPr>
              <w:pStyle w:val="ListParagraph"/>
              <w:numPr>
                <w:ilvl w:val="0"/>
                <w:numId w:val="5"/>
              </w:numPr>
              <w:ind w:left="342" w:hanging="342"/>
              <w:rPr>
                <w:sz w:val="20"/>
                <w:szCs w:val="20"/>
              </w:rPr>
            </w:pPr>
            <w:r w:rsidRPr="00E52DE0">
              <w:rPr>
                <w:sz w:val="20"/>
                <w:szCs w:val="20"/>
              </w:rPr>
              <w:t xml:space="preserve">443111 Household Appliance Stores, and </w:t>
            </w:r>
          </w:p>
          <w:p w:rsidR="00032212" w:rsidRPr="00E52DE0" w:rsidRDefault="00032212" w:rsidP="00032212">
            <w:pPr>
              <w:pStyle w:val="ListParagraph"/>
              <w:numPr>
                <w:ilvl w:val="0"/>
                <w:numId w:val="5"/>
              </w:numPr>
              <w:ind w:left="342" w:hanging="342"/>
              <w:rPr>
                <w:sz w:val="20"/>
                <w:szCs w:val="20"/>
              </w:rPr>
            </w:pPr>
            <w:r w:rsidRPr="00E52DE0">
              <w:rPr>
                <w:sz w:val="20"/>
                <w:szCs w:val="20"/>
              </w:rPr>
              <w:t xml:space="preserve">443120 Computer and Software Stores. </w:t>
            </w:r>
          </w:p>
          <w:p w:rsidR="00032212" w:rsidRPr="00E52DE0" w:rsidRDefault="00032212" w:rsidP="00032212">
            <w:r w:rsidRPr="00E52DE0">
              <w:rPr>
                <w:sz w:val="20"/>
                <w:szCs w:val="20"/>
              </w:rPr>
              <w:t>For a full list of these changes, see the 2012 NAICS Manual referenced above.</w:t>
            </w:r>
          </w:p>
        </w:tc>
      </w:tr>
      <w:tr w:rsidR="00032212" w:rsidRPr="00E52DE0" w:rsidTr="00032212">
        <w:tc>
          <w:tcPr>
            <w:tcW w:w="1617" w:type="dxa"/>
          </w:tcPr>
          <w:p w:rsidR="00032212" w:rsidRPr="00E52DE0" w:rsidRDefault="00032212" w:rsidP="00032212">
            <w:pPr>
              <w:rPr>
                <w:sz w:val="20"/>
                <w:szCs w:val="20"/>
              </w:rPr>
            </w:pPr>
            <w:r w:rsidRPr="00E52DE0">
              <w:t xml:space="preserve">72 </w:t>
            </w:r>
            <w:r w:rsidRPr="00E52DE0">
              <w:rPr>
                <w:sz w:val="20"/>
                <w:szCs w:val="20"/>
              </w:rPr>
              <w:t>(Accommodation &amp; Food Services)</w:t>
            </w:r>
          </w:p>
        </w:tc>
        <w:tc>
          <w:tcPr>
            <w:tcW w:w="7650" w:type="dxa"/>
          </w:tcPr>
          <w:p w:rsidR="00032212" w:rsidRPr="00E52DE0" w:rsidRDefault="00032212" w:rsidP="00032212">
            <w:pPr>
              <w:rPr>
                <w:sz w:val="20"/>
                <w:szCs w:val="20"/>
              </w:rPr>
            </w:pPr>
            <w:r w:rsidRPr="00E52DE0">
              <w:rPr>
                <w:sz w:val="20"/>
                <w:szCs w:val="20"/>
              </w:rPr>
              <w:t xml:space="preserve">Four 2007 NAICS codes were assigned new 2012 NAICS codes under the same 4-digit NAICS industry group, with no change in the content of the industry. These are: </w:t>
            </w:r>
          </w:p>
          <w:p w:rsidR="00032212" w:rsidRPr="00E52DE0" w:rsidRDefault="00032212" w:rsidP="00032212">
            <w:pPr>
              <w:pStyle w:val="ListParagraph"/>
              <w:numPr>
                <w:ilvl w:val="0"/>
                <w:numId w:val="6"/>
              </w:numPr>
              <w:ind w:left="363"/>
              <w:rPr>
                <w:sz w:val="20"/>
                <w:szCs w:val="20"/>
              </w:rPr>
            </w:pPr>
            <w:r w:rsidRPr="00E52DE0">
              <w:rPr>
                <w:sz w:val="20"/>
                <w:szCs w:val="20"/>
              </w:rPr>
              <w:t xml:space="preserve">722110 Full-Service Restaurants which is now 722511, </w:t>
            </w:r>
          </w:p>
          <w:p w:rsidR="00032212" w:rsidRPr="00E52DE0" w:rsidRDefault="00032212" w:rsidP="00032212">
            <w:pPr>
              <w:pStyle w:val="ListParagraph"/>
              <w:numPr>
                <w:ilvl w:val="0"/>
                <w:numId w:val="6"/>
              </w:numPr>
              <w:ind w:left="363"/>
              <w:rPr>
                <w:sz w:val="20"/>
                <w:szCs w:val="20"/>
              </w:rPr>
            </w:pPr>
            <w:r w:rsidRPr="00E52DE0">
              <w:rPr>
                <w:sz w:val="20"/>
                <w:szCs w:val="20"/>
              </w:rPr>
              <w:t xml:space="preserve">722211 Limited-Service Restaurants which is now 722513, </w:t>
            </w:r>
          </w:p>
          <w:p w:rsidR="00032212" w:rsidRPr="00E52DE0" w:rsidRDefault="00032212" w:rsidP="00032212">
            <w:pPr>
              <w:pStyle w:val="ListParagraph"/>
              <w:numPr>
                <w:ilvl w:val="0"/>
                <w:numId w:val="6"/>
              </w:numPr>
              <w:ind w:left="363"/>
              <w:rPr>
                <w:sz w:val="20"/>
                <w:szCs w:val="20"/>
              </w:rPr>
            </w:pPr>
            <w:r w:rsidRPr="00E52DE0">
              <w:rPr>
                <w:sz w:val="20"/>
                <w:szCs w:val="20"/>
              </w:rPr>
              <w:t xml:space="preserve">722212 Cafeterias, Grill Buffets, and Buffets which is now 722514, and </w:t>
            </w:r>
          </w:p>
          <w:p w:rsidR="00032212" w:rsidRPr="00E52DE0" w:rsidRDefault="00032212" w:rsidP="00032212">
            <w:pPr>
              <w:pStyle w:val="ListParagraph"/>
              <w:numPr>
                <w:ilvl w:val="0"/>
                <w:numId w:val="6"/>
              </w:numPr>
              <w:ind w:left="363"/>
              <w:rPr>
                <w:sz w:val="20"/>
                <w:szCs w:val="20"/>
              </w:rPr>
            </w:pPr>
            <w:r w:rsidRPr="00E52DE0">
              <w:rPr>
                <w:sz w:val="20"/>
                <w:szCs w:val="20"/>
              </w:rPr>
              <w:t>722213 Snack and Nonalcoholic Beverage Bars which is now 722515.</w:t>
            </w:r>
          </w:p>
        </w:tc>
      </w:tr>
    </w:tbl>
    <w:p w:rsidR="0030605D" w:rsidRPr="00E52DE0" w:rsidRDefault="0030605D" w:rsidP="0030605D">
      <w:pPr>
        <w:spacing w:after="0"/>
      </w:pPr>
    </w:p>
    <w:p w:rsidR="00032212" w:rsidRDefault="0030605D" w:rsidP="00032212">
      <w:r w:rsidRPr="00E52DE0">
        <w:t xml:space="preserve">Revisions and changes to the NAICS classification system occur every 5 years. </w:t>
      </w:r>
      <w:r w:rsidR="002229EB" w:rsidRPr="00E52DE0">
        <w:t>View t</w:t>
      </w:r>
      <w:r w:rsidRPr="00E52DE0">
        <w:t xml:space="preserve">he latest version </w:t>
      </w:r>
      <w:r w:rsidR="002229EB" w:rsidRPr="00E52DE0">
        <w:t>of</w:t>
      </w:r>
      <w:r w:rsidRPr="00E52DE0">
        <w:t xml:space="preserve"> </w:t>
      </w:r>
      <w:r w:rsidR="002229EB" w:rsidRPr="00E52DE0">
        <w:t xml:space="preserve">the </w:t>
      </w:r>
      <w:hyperlink r:id="rId31" w:history="1">
        <w:r w:rsidR="002229EB" w:rsidRPr="00E52DE0">
          <w:rPr>
            <w:rStyle w:val="Hyperlink"/>
          </w:rPr>
          <w:t>U.S. North American Industry Classification System</w:t>
        </w:r>
      </w:hyperlink>
      <w:r w:rsidR="002229EB" w:rsidRPr="00E52DE0">
        <w:t>.</w:t>
      </w:r>
      <w:r w:rsidRPr="00E52DE0">
        <w:t xml:space="preserve">  </w:t>
      </w:r>
      <w:r w:rsidR="002229EB" w:rsidRPr="00E52DE0">
        <w:t xml:space="preserve">The official 2012 U.S. NAICS Manual is available </w:t>
      </w:r>
      <w:r w:rsidR="002229EB" w:rsidRPr="00E52DE0">
        <w:lastRenderedPageBreak/>
        <w:t>in print and on CD-ROM from the National Technical Information Service (NTIS) at (800) 553-6847 or (703) 605-6000, or through the NTIS Web site.</w:t>
      </w:r>
    </w:p>
    <w:p w:rsidR="00032212" w:rsidRDefault="00032212" w:rsidP="00032212"/>
    <w:p w:rsidR="00E97B9B" w:rsidRDefault="00E97B9B"/>
    <w:sectPr w:rsidR="00E97B9B" w:rsidSect="00D60C52">
      <w:footerReference w:type="default" r:id="rId32"/>
      <w:pgSz w:w="12240" w:h="15840"/>
      <w:pgMar w:top="1440" w:right="1440" w:bottom="1440" w:left="1440" w:header="720" w:footer="45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5015" w:rsidRDefault="00F75015" w:rsidP="00162EBF">
      <w:pPr>
        <w:spacing w:after="0" w:line="240" w:lineRule="auto"/>
      </w:pPr>
      <w:r>
        <w:separator/>
      </w:r>
    </w:p>
  </w:endnote>
  <w:endnote w:type="continuationSeparator" w:id="0">
    <w:p w:rsidR="00F75015" w:rsidRDefault="00F75015" w:rsidP="00162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7491824"/>
      <w:docPartObj>
        <w:docPartGallery w:val="Page Numbers (Bottom of Page)"/>
        <w:docPartUnique/>
      </w:docPartObj>
    </w:sdtPr>
    <w:sdtEndPr/>
    <w:sdtContent>
      <w:sdt>
        <w:sdtPr>
          <w:id w:val="-1669238322"/>
          <w:docPartObj>
            <w:docPartGallery w:val="Page Numbers (Top of Page)"/>
            <w:docPartUnique/>
          </w:docPartObj>
        </w:sdtPr>
        <w:sdtEndPr/>
        <w:sdtContent>
          <w:p w:rsidR="00F75015" w:rsidRDefault="00F75015">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B06D59">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06D59">
              <w:rPr>
                <w:b/>
                <w:bCs/>
                <w:noProof/>
              </w:rPr>
              <w:t>15</w:t>
            </w:r>
            <w:r>
              <w:rPr>
                <w:b/>
                <w:bCs/>
                <w:sz w:val="24"/>
                <w:szCs w:val="24"/>
              </w:rPr>
              <w:fldChar w:fldCharType="end"/>
            </w:r>
          </w:p>
        </w:sdtContent>
      </w:sdt>
    </w:sdtContent>
  </w:sdt>
  <w:p w:rsidR="00F75015" w:rsidRDefault="00F750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5015" w:rsidRDefault="00F75015" w:rsidP="00162EBF">
      <w:pPr>
        <w:spacing w:after="0" w:line="240" w:lineRule="auto"/>
      </w:pPr>
      <w:r>
        <w:separator/>
      </w:r>
    </w:p>
  </w:footnote>
  <w:footnote w:type="continuationSeparator" w:id="0">
    <w:p w:rsidR="00F75015" w:rsidRDefault="00F75015" w:rsidP="00162EB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6352F"/>
    <w:multiLevelType w:val="hybridMultilevel"/>
    <w:tmpl w:val="78605618"/>
    <w:lvl w:ilvl="0" w:tplc="88CEF2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105474"/>
    <w:multiLevelType w:val="hybridMultilevel"/>
    <w:tmpl w:val="5810E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815362"/>
    <w:multiLevelType w:val="hybridMultilevel"/>
    <w:tmpl w:val="1FFEC81A"/>
    <w:lvl w:ilvl="0" w:tplc="637CEC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156897"/>
    <w:multiLevelType w:val="hybridMultilevel"/>
    <w:tmpl w:val="354AA27E"/>
    <w:lvl w:ilvl="0" w:tplc="AE92B6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3C6689"/>
    <w:multiLevelType w:val="hybridMultilevel"/>
    <w:tmpl w:val="CF823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A93777"/>
    <w:multiLevelType w:val="hybridMultilevel"/>
    <w:tmpl w:val="04F0D7FA"/>
    <w:lvl w:ilvl="0" w:tplc="3DF441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D00BB2"/>
    <w:multiLevelType w:val="hybridMultilevel"/>
    <w:tmpl w:val="22F46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243F2D"/>
    <w:multiLevelType w:val="hybridMultilevel"/>
    <w:tmpl w:val="A8765F58"/>
    <w:lvl w:ilvl="0" w:tplc="B87292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AF5389"/>
    <w:multiLevelType w:val="hybridMultilevel"/>
    <w:tmpl w:val="D7CA1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FD2FF5"/>
    <w:multiLevelType w:val="hybridMultilevel"/>
    <w:tmpl w:val="F28EB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68D2486"/>
    <w:multiLevelType w:val="hybridMultilevel"/>
    <w:tmpl w:val="ACE08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D6123DA"/>
    <w:multiLevelType w:val="hybridMultilevel"/>
    <w:tmpl w:val="1D188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8B72B7"/>
    <w:multiLevelType w:val="multilevel"/>
    <w:tmpl w:val="50EE1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9B6447"/>
    <w:multiLevelType w:val="multilevel"/>
    <w:tmpl w:val="EAC887F0"/>
    <w:lvl w:ilvl="0">
      <w:start w:val="1"/>
      <w:numFmt w:val="decimal"/>
      <w:lvlText w:val="%1."/>
      <w:lvlJc w:val="left"/>
      <w:pPr>
        <w:tabs>
          <w:tab w:val="num" w:pos="630"/>
        </w:tabs>
        <w:ind w:left="63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10F0BA4"/>
    <w:multiLevelType w:val="hybridMultilevel"/>
    <w:tmpl w:val="62E4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C7A77FC"/>
    <w:multiLevelType w:val="hybridMultilevel"/>
    <w:tmpl w:val="845E8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D652E9C"/>
    <w:multiLevelType w:val="hybridMultilevel"/>
    <w:tmpl w:val="8910C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87A6022"/>
    <w:multiLevelType w:val="hybridMultilevel"/>
    <w:tmpl w:val="207A491E"/>
    <w:lvl w:ilvl="0" w:tplc="542460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1BF08EB"/>
    <w:multiLevelType w:val="hybridMultilevel"/>
    <w:tmpl w:val="8632B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8E65422"/>
    <w:multiLevelType w:val="hybridMultilevel"/>
    <w:tmpl w:val="9A264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8F22006"/>
    <w:multiLevelType w:val="multilevel"/>
    <w:tmpl w:val="876EF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
  </w:num>
  <w:num w:numId="3">
    <w:abstractNumId w:val="4"/>
  </w:num>
  <w:num w:numId="4">
    <w:abstractNumId w:val="6"/>
  </w:num>
  <w:num w:numId="5">
    <w:abstractNumId w:val="11"/>
  </w:num>
  <w:num w:numId="6">
    <w:abstractNumId w:val="16"/>
  </w:num>
  <w:num w:numId="7">
    <w:abstractNumId w:val="20"/>
  </w:num>
  <w:num w:numId="8">
    <w:abstractNumId w:val="10"/>
  </w:num>
  <w:num w:numId="9">
    <w:abstractNumId w:val="8"/>
  </w:num>
  <w:num w:numId="10">
    <w:abstractNumId w:val="13"/>
  </w:num>
  <w:num w:numId="11">
    <w:abstractNumId w:val="12"/>
  </w:num>
  <w:num w:numId="12">
    <w:abstractNumId w:val="15"/>
  </w:num>
  <w:num w:numId="13">
    <w:abstractNumId w:val="9"/>
  </w:num>
  <w:num w:numId="14">
    <w:abstractNumId w:val="18"/>
  </w:num>
  <w:num w:numId="15">
    <w:abstractNumId w:val="14"/>
  </w:num>
  <w:num w:numId="16">
    <w:abstractNumId w:val="0"/>
  </w:num>
  <w:num w:numId="17">
    <w:abstractNumId w:val="5"/>
  </w:num>
  <w:num w:numId="18">
    <w:abstractNumId w:val="7"/>
  </w:num>
  <w:num w:numId="19">
    <w:abstractNumId w:val="2"/>
  </w:num>
  <w:num w:numId="20">
    <w:abstractNumId w:val="17"/>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defaultTabStop w:val="720"/>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A74"/>
    <w:rsid w:val="00001F87"/>
    <w:rsid w:val="0000641F"/>
    <w:rsid w:val="00007034"/>
    <w:rsid w:val="00024460"/>
    <w:rsid w:val="00027AAA"/>
    <w:rsid w:val="00032212"/>
    <w:rsid w:val="0003379B"/>
    <w:rsid w:val="000520F9"/>
    <w:rsid w:val="00054865"/>
    <w:rsid w:val="00061914"/>
    <w:rsid w:val="0007333C"/>
    <w:rsid w:val="00073DE7"/>
    <w:rsid w:val="0009065F"/>
    <w:rsid w:val="000C09A0"/>
    <w:rsid w:val="000D349F"/>
    <w:rsid w:val="000E1649"/>
    <w:rsid w:val="000E7C8A"/>
    <w:rsid w:val="00100F8D"/>
    <w:rsid w:val="00103DDE"/>
    <w:rsid w:val="00105A42"/>
    <w:rsid w:val="00106FDD"/>
    <w:rsid w:val="001174C2"/>
    <w:rsid w:val="00125721"/>
    <w:rsid w:val="00146F99"/>
    <w:rsid w:val="00161C0F"/>
    <w:rsid w:val="00162475"/>
    <w:rsid w:val="00162EBF"/>
    <w:rsid w:val="00164CFD"/>
    <w:rsid w:val="001670C9"/>
    <w:rsid w:val="001709F9"/>
    <w:rsid w:val="00170DEA"/>
    <w:rsid w:val="0017298F"/>
    <w:rsid w:val="0018205D"/>
    <w:rsid w:val="001A18C9"/>
    <w:rsid w:val="001B1053"/>
    <w:rsid w:val="001B1220"/>
    <w:rsid w:val="001B2B2F"/>
    <w:rsid w:val="001B58DD"/>
    <w:rsid w:val="001E06C1"/>
    <w:rsid w:val="001F0358"/>
    <w:rsid w:val="001F51A6"/>
    <w:rsid w:val="002040B9"/>
    <w:rsid w:val="00216BA7"/>
    <w:rsid w:val="00221939"/>
    <w:rsid w:val="002229EB"/>
    <w:rsid w:val="00227B1F"/>
    <w:rsid w:val="00232002"/>
    <w:rsid w:val="002342F9"/>
    <w:rsid w:val="00234583"/>
    <w:rsid w:val="00234890"/>
    <w:rsid w:val="00237A38"/>
    <w:rsid w:val="002526F2"/>
    <w:rsid w:val="0026058D"/>
    <w:rsid w:val="00270612"/>
    <w:rsid w:val="00275242"/>
    <w:rsid w:val="00282734"/>
    <w:rsid w:val="00287825"/>
    <w:rsid w:val="00290D57"/>
    <w:rsid w:val="00290D68"/>
    <w:rsid w:val="00294265"/>
    <w:rsid w:val="002950DC"/>
    <w:rsid w:val="002A0774"/>
    <w:rsid w:val="002A46D4"/>
    <w:rsid w:val="002A5C55"/>
    <w:rsid w:val="002B2F60"/>
    <w:rsid w:val="002C4FEF"/>
    <w:rsid w:val="002C642E"/>
    <w:rsid w:val="002D1416"/>
    <w:rsid w:val="002E1265"/>
    <w:rsid w:val="002E3B16"/>
    <w:rsid w:val="002F0833"/>
    <w:rsid w:val="002F08E9"/>
    <w:rsid w:val="00300D5D"/>
    <w:rsid w:val="00300F2B"/>
    <w:rsid w:val="0030605D"/>
    <w:rsid w:val="00317F03"/>
    <w:rsid w:val="003350B8"/>
    <w:rsid w:val="00352630"/>
    <w:rsid w:val="00363B9F"/>
    <w:rsid w:val="00365A94"/>
    <w:rsid w:val="00367366"/>
    <w:rsid w:val="00372E38"/>
    <w:rsid w:val="00372FF5"/>
    <w:rsid w:val="00384AAA"/>
    <w:rsid w:val="0038789C"/>
    <w:rsid w:val="003A2251"/>
    <w:rsid w:val="003A76A0"/>
    <w:rsid w:val="003A7794"/>
    <w:rsid w:val="003C065F"/>
    <w:rsid w:val="003C33F3"/>
    <w:rsid w:val="003C36AC"/>
    <w:rsid w:val="003C6180"/>
    <w:rsid w:val="003C738A"/>
    <w:rsid w:val="003D37B9"/>
    <w:rsid w:val="003D5724"/>
    <w:rsid w:val="003F242B"/>
    <w:rsid w:val="003F30DC"/>
    <w:rsid w:val="003F44DF"/>
    <w:rsid w:val="003F4FD1"/>
    <w:rsid w:val="004058AD"/>
    <w:rsid w:val="00423DCD"/>
    <w:rsid w:val="0043397D"/>
    <w:rsid w:val="00441FC5"/>
    <w:rsid w:val="0044236F"/>
    <w:rsid w:val="004511DC"/>
    <w:rsid w:val="004531CC"/>
    <w:rsid w:val="00453A71"/>
    <w:rsid w:val="00460B1D"/>
    <w:rsid w:val="0046109C"/>
    <w:rsid w:val="00462605"/>
    <w:rsid w:val="004714FC"/>
    <w:rsid w:val="004726BE"/>
    <w:rsid w:val="00482493"/>
    <w:rsid w:val="004A4E5D"/>
    <w:rsid w:val="004B3A69"/>
    <w:rsid w:val="004C61E6"/>
    <w:rsid w:val="004D666F"/>
    <w:rsid w:val="004E7845"/>
    <w:rsid w:val="004F5972"/>
    <w:rsid w:val="004F77B6"/>
    <w:rsid w:val="0050204B"/>
    <w:rsid w:val="00503FDF"/>
    <w:rsid w:val="00516CC5"/>
    <w:rsid w:val="005214DD"/>
    <w:rsid w:val="00522123"/>
    <w:rsid w:val="00540FB4"/>
    <w:rsid w:val="00544A3C"/>
    <w:rsid w:val="00545B00"/>
    <w:rsid w:val="0055416E"/>
    <w:rsid w:val="00554F4F"/>
    <w:rsid w:val="005624D2"/>
    <w:rsid w:val="00563D1D"/>
    <w:rsid w:val="00564D32"/>
    <w:rsid w:val="0058463D"/>
    <w:rsid w:val="005A55C6"/>
    <w:rsid w:val="005B7C87"/>
    <w:rsid w:val="005C0F3B"/>
    <w:rsid w:val="005C1BED"/>
    <w:rsid w:val="005D0C05"/>
    <w:rsid w:val="005D109F"/>
    <w:rsid w:val="005E76BF"/>
    <w:rsid w:val="00607FA9"/>
    <w:rsid w:val="0061273E"/>
    <w:rsid w:val="00617F92"/>
    <w:rsid w:val="00633C5F"/>
    <w:rsid w:val="0064023D"/>
    <w:rsid w:val="0066450D"/>
    <w:rsid w:val="006652B3"/>
    <w:rsid w:val="0066682B"/>
    <w:rsid w:val="0068262E"/>
    <w:rsid w:val="00684550"/>
    <w:rsid w:val="006869B9"/>
    <w:rsid w:val="006900C9"/>
    <w:rsid w:val="00693AA4"/>
    <w:rsid w:val="00696A74"/>
    <w:rsid w:val="00697E93"/>
    <w:rsid w:val="006A5F30"/>
    <w:rsid w:val="006D1314"/>
    <w:rsid w:val="006D6913"/>
    <w:rsid w:val="006F6673"/>
    <w:rsid w:val="007038BD"/>
    <w:rsid w:val="00707111"/>
    <w:rsid w:val="00711BE9"/>
    <w:rsid w:val="0072760D"/>
    <w:rsid w:val="007304F0"/>
    <w:rsid w:val="00734A32"/>
    <w:rsid w:val="00734BC5"/>
    <w:rsid w:val="0074207B"/>
    <w:rsid w:val="00747A1A"/>
    <w:rsid w:val="00747C92"/>
    <w:rsid w:val="00764E2A"/>
    <w:rsid w:val="00771126"/>
    <w:rsid w:val="00787F89"/>
    <w:rsid w:val="00790F12"/>
    <w:rsid w:val="007922A7"/>
    <w:rsid w:val="007951E1"/>
    <w:rsid w:val="00796741"/>
    <w:rsid w:val="007B2338"/>
    <w:rsid w:val="007E6BB1"/>
    <w:rsid w:val="007F67FF"/>
    <w:rsid w:val="00800A81"/>
    <w:rsid w:val="008053A9"/>
    <w:rsid w:val="00811D50"/>
    <w:rsid w:val="008175F3"/>
    <w:rsid w:val="0082312A"/>
    <w:rsid w:val="00847CE9"/>
    <w:rsid w:val="00852956"/>
    <w:rsid w:val="00854BB0"/>
    <w:rsid w:val="00855ABF"/>
    <w:rsid w:val="00867739"/>
    <w:rsid w:val="00886E4D"/>
    <w:rsid w:val="008944F5"/>
    <w:rsid w:val="00895E99"/>
    <w:rsid w:val="008B3760"/>
    <w:rsid w:val="008C1359"/>
    <w:rsid w:val="008C3D36"/>
    <w:rsid w:val="008D33D3"/>
    <w:rsid w:val="008E449C"/>
    <w:rsid w:val="008F1FFD"/>
    <w:rsid w:val="008F63C3"/>
    <w:rsid w:val="009119F9"/>
    <w:rsid w:val="00914690"/>
    <w:rsid w:val="0092183F"/>
    <w:rsid w:val="009243C0"/>
    <w:rsid w:val="00933853"/>
    <w:rsid w:val="009558E2"/>
    <w:rsid w:val="009568DF"/>
    <w:rsid w:val="00960BF7"/>
    <w:rsid w:val="0098440B"/>
    <w:rsid w:val="00992A9F"/>
    <w:rsid w:val="009A2CEA"/>
    <w:rsid w:val="009A3BB7"/>
    <w:rsid w:val="009A503A"/>
    <w:rsid w:val="009A563D"/>
    <w:rsid w:val="009B2337"/>
    <w:rsid w:val="009D0628"/>
    <w:rsid w:val="009D0969"/>
    <w:rsid w:val="009D1C01"/>
    <w:rsid w:val="009D5AC0"/>
    <w:rsid w:val="009D6C40"/>
    <w:rsid w:val="009E32FC"/>
    <w:rsid w:val="009F5A71"/>
    <w:rsid w:val="00A21B23"/>
    <w:rsid w:val="00A303EE"/>
    <w:rsid w:val="00A32A4E"/>
    <w:rsid w:val="00A41C4F"/>
    <w:rsid w:val="00A45201"/>
    <w:rsid w:val="00A66213"/>
    <w:rsid w:val="00A665E5"/>
    <w:rsid w:val="00A85AF6"/>
    <w:rsid w:val="00A863D6"/>
    <w:rsid w:val="00A878EA"/>
    <w:rsid w:val="00A91100"/>
    <w:rsid w:val="00AA22C2"/>
    <w:rsid w:val="00AA5612"/>
    <w:rsid w:val="00AC16D0"/>
    <w:rsid w:val="00AC1CF4"/>
    <w:rsid w:val="00AD09A2"/>
    <w:rsid w:val="00AD24B9"/>
    <w:rsid w:val="00AD2BD0"/>
    <w:rsid w:val="00AD6475"/>
    <w:rsid w:val="00AE25BE"/>
    <w:rsid w:val="00AE5E9C"/>
    <w:rsid w:val="00AE7067"/>
    <w:rsid w:val="00AE792B"/>
    <w:rsid w:val="00AF63B5"/>
    <w:rsid w:val="00B06934"/>
    <w:rsid w:val="00B06D59"/>
    <w:rsid w:val="00B224C0"/>
    <w:rsid w:val="00B2458B"/>
    <w:rsid w:val="00B247D1"/>
    <w:rsid w:val="00B27771"/>
    <w:rsid w:val="00B33A1F"/>
    <w:rsid w:val="00B40C8E"/>
    <w:rsid w:val="00B42CD2"/>
    <w:rsid w:val="00B43ADD"/>
    <w:rsid w:val="00B46814"/>
    <w:rsid w:val="00B55275"/>
    <w:rsid w:val="00B83FD6"/>
    <w:rsid w:val="00B91DED"/>
    <w:rsid w:val="00B925B4"/>
    <w:rsid w:val="00BC1ACA"/>
    <w:rsid w:val="00BC6685"/>
    <w:rsid w:val="00BD2BFE"/>
    <w:rsid w:val="00BD4776"/>
    <w:rsid w:val="00BF10F7"/>
    <w:rsid w:val="00BF1233"/>
    <w:rsid w:val="00C12ADD"/>
    <w:rsid w:val="00C135F3"/>
    <w:rsid w:val="00C15E1C"/>
    <w:rsid w:val="00C17433"/>
    <w:rsid w:val="00C329E2"/>
    <w:rsid w:val="00C42AB6"/>
    <w:rsid w:val="00C43A4B"/>
    <w:rsid w:val="00C4586D"/>
    <w:rsid w:val="00C52F60"/>
    <w:rsid w:val="00C53604"/>
    <w:rsid w:val="00C539D6"/>
    <w:rsid w:val="00C633BC"/>
    <w:rsid w:val="00C63539"/>
    <w:rsid w:val="00C75868"/>
    <w:rsid w:val="00C77A1A"/>
    <w:rsid w:val="00C80B35"/>
    <w:rsid w:val="00C81D8E"/>
    <w:rsid w:val="00C8241D"/>
    <w:rsid w:val="00C83DFC"/>
    <w:rsid w:val="00C8757C"/>
    <w:rsid w:val="00C877B6"/>
    <w:rsid w:val="00C96D79"/>
    <w:rsid w:val="00CA0AA7"/>
    <w:rsid w:val="00CA1C0C"/>
    <w:rsid w:val="00CA74AB"/>
    <w:rsid w:val="00CB3C34"/>
    <w:rsid w:val="00CD12BD"/>
    <w:rsid w:val="00CD4FDB"/>
    <w:rsid w:val="00CE008E"/>
    <w:rsid w:val="00CE3297"/>
    <w:rsid w:val="00CE44FD"/>
    <w:rsid w:val="00CE584E"/>
    <w:rsid w:val="00D461FE"/>
    <w:rsid w:val="00D47F0F"/>
    <w:rsid w:val="00D54B80"/>
    <w:rsid w:val="00D564F7"/>
    <w:rsid w:val="00D565F5"/>
    <w:rsid w:val="00D60C52"/>
    <w:rsid w:val="00D800B9"/>
    <w:rsid w:val="00D95CF8"/>
    <w:rsid w:val="00DA21A6"/>
    <w:rsid w:val="00DA2480"/>
    <w:rsid w:val="00DC6C8C"/>
    <w:rsid w:val="00DD455D"/>
    <w:rsid w:val="00E168D9"/>
    <w:rsid w:val="00E172EA"/>
    <w:rsid w:val="00E301F8"/>
    <w:rsid w:val="00E33E33"/>
    <w:rsid w:val="00E374A5"/>
    <w:rsid w:val="00E51675"/>
    <w:rsid w:val="00E51F39"/>
    <w:rsid w:val="00E52DE0"/>
    <w:rsid w:val="00E62100"/>
    <w:rsid w:val="00E626D1"/>
    <w:rsid w:val="00E638C2"/>
    <w:rsid w:val="00E71A61"/>
    <w:rsid w:val="00E91513"/>
    <w:rsid w:val="00E96F82"/>
    <w:rsid w:val="00E97B9B"/>
    <w:rsid w:val="00EA3105"/>
    <w:rsid w:val="00EA6DC8"/>
    <w:rsid w:val="00ED38F1"/>
    <w:rsid w:val="00ED5DB0"/>
    <w:rsid w:val="00EE3F43"/>
    <w:rsid w:val="00EE671C"/>
    <w:rsid w:val="00EF718F"/>
    <w:rsid w:val="00F0070D"/>
    <w:rsid w:val="00F03342"/>
    <w:rsid w:val="00F04913"/>
    <w:rsid w:val="00F04F11"/>
    <w:rsid w:val="00F1197A"/>
    <w:rsid w:val="00F23204"/>
    <w:rsid w:val="00F262BA"/>
    <w:rsid w:val="00F3491A"/>
    <w:rsid w:val="00F36EF1"/>
    <w:rsid w:val="00F447B7"/>
    <w:rsid w:val="00F460AA"/>
    <w:rsid w:val="00F539B0"/>
    <w:rsid w:val="00F55EA7"/>
    <w:rsid w:val="00F75015"/>
    <w:rsid w:val="00FA2BA5"/>
    <w:rsid w:val="00FB18A0"/>
    <w:rsid w:val="00FB2D3E"/>
    <w:rsid w:val="00FB2FFF"/>
    <w:rsid w:val="00FD042A"/>
    <w:rsid w:val="00FD4720"/>
    <w:rsid w:val="00FE4F90"/>
    <w:rsid w:val="00FF2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6A74"/>
    <w:pPr>
      <w:ind w:left="720"/>
      <w:contextualSpacing/>
    </w:pPr>
  </w:style>
  <w:style w:type="table" w:styleId="TableGrid">
    <w:name w:val="Table Grid"/>
    <w:basedOn w:val="TableNormal"/>
    <w:uiPriority w:val="59"/>
    <w:rsid w:val="00CA74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62E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62EBF"/>
    <w:rPr>
      <w:sz w:val="20"/>
      <w:szCs w:val="20"/>
    </w:rPr>
  </w:style>
  <w:style w:type="character" w:styleId="FootnoteReference">
    <w:name w:val="footnote reference"/>
    <w:basedOn w:val="DefaultParagraphFont"/>
    <w:uiPriority w:val="99"/>
    <w:semiHidden/>
    <w:unhideWhenUsed/>
    <w:rsid w:val="00162EBF"/>
    <w:rPr>
      <w:vertAlign w:val="superscript"/>
    </w:rPr>
  </w:style>
  <w:style w:type="character" w:styleId="Strong">
    <w:name w:val="Strong"/>
    <w:basedOn w:val="DefaultParagraphFont"/>
    <w:uiPriority w:val="22"/>
    <w:qFormat/>
    <w:rsid w:val="00216BA7"/>
    <w:rPr>
      <w:b/>
      <w:bCs/>
    </w:rPr>
  </w:style>
  <w:style w:type="character" w:styleId="PlaceholderText">
    <w:name w:val="Placeholder Text"/>
    <w:basedOn w:val="DefaultParagraphFont"/>
    <w:uiPriority w:val="99"/>
    <w:semiHidden/>
    <w:rsid w:val="001B1053"/>
    <w:rPr>
      <w:color w:val="808080"/>
    </w:rPr>
  </w:style>
  <w:style w:type="paragraph" w:styleId="BalloonText">
    <w:name w:val="Balloon Text"/>
    <w:basedOn w:val="Normal"/>
    <w:link w:val="BalloonTextChar"/>
    <w:uiPriority w:val="99"/>
    <w:semiHidden/>
    <w:unhideWhenUsed/>
    <w:rsid w:val="001B10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053"/>
    <w:rPr>
      <w:rFonts w:ascii="Tahoma" w:hAnsi="Tahoma" w:cs="Tahoma"/>
      <w:sz w:val="16"/>
      <w:szCs w:val="16"/>
    </w:rPr>
  </w:style>
  <w:style w:type="paragraph" w:styleId="Header">
    <w:name w:val="header"/>
    <w:basedOn w:val="Normal"/>
    <w:link w:val="HeaderChar"/>
    <w:uiPriority w:val="99"/>
    <w:unhideWhenUsed/>
    <w:rsid w:val="00811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1D50"/>
  </w:style>
  <w:style w:type="paragraph" w:styleId="Footer">
    <w:name w:val="footer"/>
    <w:basedOn w:val="Normal"/>
    <w:link w:val="FooterChar"/>
    <w:uiPriority w:val="99"/>
    <w:unhideWhenUsed/>
    <w:rsid w:val="00811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1D50"/>
  </w:style>
  <w:style w:type="character" w:styleId="Hyperlink">
    <w:name w:val="Hyperlink"/>
    <w:basedOn w:val="DefaultParagraphFont"/>
    <w:uiPriority w:val="99"/>
    <w:unhideWhenUsed/>
    <w:rsid w:val="005A55C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6A74"/>
    <w:pPr>
      <w:ind w:left="720"/>
      <w:contextualSpacing/>
    </w:pPr>
  </w:style>
  <w:style w:type="table" w:styleId="TableGrid">
    <w:name w:val="Table Grid"/>
    <w:basedOn w:val="TableNormal"/>
    <w:uiPriority w:val="59"/>
    <w:rsid w:val="00CA74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62E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62EBF"/>
    <w:rPr>
      <w:sz w:val="20"/>
      <w:szCs w:val="20"/>
    </w:rPr>
  </w:style>
  <w:style w:type="character" w:styleId="FootnoteReference">
    <w:name w:val="footnote reference"/>
    <w:basedOn w:val="DefaultParagraphFont"/>
    <w:uiPriority w:val="99"/>
    <w:semiHidden/>
    <w:unhideWhenUsed/>
    <w:rsid w:val="00162EBF"/>
    <w:rPr>
      <w:vertAlign w:val="superscript"/>
    </w:rPr>
  </w:style>
  <w:style w:type="character" w:styleId="Strong">
    <w:name w:val="Strong"/>
    <w:basedOn w:val="DefaultParagraphFont"/>
    <w:uiPriority w:val="22"/>
    <w:qFormat/>
    <w:rsid w:val="00216BA7"/>
    <w:rPr>
      <w:b/>
      <w:bCs/>
    </w:rPr>
  </w:style>
  <w:style w:type="character" w:styleId="PlaceholderText">
    <w:name w:val="Placeholder Text"/>
    <w:basedOn w:val="DefaultParagraphFont"/>
    <w:uiPriority w:val="99"/>
    <w:semiHidden/>
    <w:rsid w:val="001B1053"/>
    <w:rPr>
      <w:color w:val="808080"/>
    </w:rPr>
  </w:style>
  <w:style w:type="paragraph" w:styleId="BalloonText">
    <w:name w:val="Balloon Text"/>
    <w:basedOn w:val="Normal"/>
    <w:link w:val="BalloonTextChar"/>
    <w:uiPriority w:val="99"/>
    <w:semiHidden/>
    <w:unhideWhenUsed/>
    <w:rsid w:val="001B10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053"/>
    <w:rPr>
      <w:rFonts w:ascii="Tahoma" w:hAnsi="Tahoma" w:cs="Tahoma"/>
      <w:sz w:val="16"/>
      <w:szCs w:val="16"/>
    </w:rPr>
  </w:style>
  <w:style w:type="paragraph" w:styleId="Header">
    <w:name w:val="header"/>
    <w:basedOn w:val="Normal"/>
    <w:link w:val="HeaderChar"/>
    <w:uiPriority w:val="99"/>
    <w:unhideWhenUsed/>
    <w:rsid w:val="00811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1D50"/>
  </w:style>
  <w:style w:type="paragraph" w:styleId="Footer">
    <w:name w:val="footer"/>
    <w:basedOn w:val="Normal"/>
    <w:link w:val="FooterChar"/>
    <w:uiPriority w:val="99"/>
    <w:unhideWhenUsed/>
    <w:rsid w:val="00811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1D50"/>
  </w:style>
  <w:style w:type="character" w:styleId="Hyperlink">
    <w:name w:val="Hyperlink"/>
    <w:basedOn w:val="DefaultParagraphFont"/>
    <w:uiPriority w:val="99"/>
    <w:unhideWhenUsed/>
    <w:rsid w:val="005A55C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4757364">
      <w:bodyDiv w:val="1"/>
      <w:marLeft w:val="0"/>
      <w:marRight w:val="0"/>
      <w:marTop w:val="0"/>
      <w:marBottom w:val="0"/>
      <w:divBdr>
        <w:top w:val="none" w:sz="0" w:space="0" w:color="auto"/>
        <w:left w:val="none" w:sz="0" w:space="0" w:color="auto"/>
        <w:bottom w:val="none" w:sz="0" w:space="0" w:color="auto"/>
        <w:right w:val="none" w:sz="0" w:space="0" w:color="auto"/>
      </w:divBdr>
      <w:divsChild>
        <w:div w:id="1668477">
          <w:marLeft w:val="0"/>
          <w:marRight w:val="0"/>
          <w:marTop w:val="0"/>
          <w:marBottom w:val="0"/>
          <w:divBdr>
            <w:top w:val="none" w:sz="0" w:space="0" w:color="auto"/>
            <w:left w:val="none" w:sz="0" w:space="0" w:color="auto"/>
            <w:bottom w:val="none" w:sz="0" w:space="0" w:color="auto"/>
            <w:right w:val="none" w:sz="0" w:space="0" w:color="auto"/>
          </w:divBdr>
          <w:divsChild>
            <w:div w:id="910387130">
              <w:marLeft w:val="0"/>
              <w:marRight w:val="0"/>
              <w:marTop w:val="0"/>
              <w:marBottom w:val="0"/>
              <w:divBdr>
                <w:top w:val="none" w:sz="0" w:space="0" w:color="auto"/>
                <w:left w:val="none" w:sz="0" w:space="0" w:color="auto"/>
                <w:bottom w:val="none" w:sz="0" w:space="0" w:color="auto"/>
                <w:right w:val="none" w:sz="0" w:space="0" w:color="auto"/>
              </w:divBdr>
              <w:divsChild>
                <w:div w:id="1211381989">
                  <w:marLeft w:val="360"/>
                  <w:marRight w:val="360"/>
                  <w:marTop w:val="0"/>
                  <w:marBottom w:val="0"/>
                  <w:divBdr>
                    <w:top w:val="single" w:sz="6" w:space="12" w:color="B7B7B7"/>
                    <w:left w:val="none" w:sz="0" w:space="0" w:color="auto"/>
                    <w:bottom w:val="none" w:sz="0" w:space="0" w:color="auto"/>
                    <w:right w:val="none" w:sz="0" w:space="0" w:color="auto"/>
                  </w:divBdr>
                  <w:divsChild>
                    <w:div w:id="159766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nsus.gov/econ/overview/mu0700.html" TargetMode="External"/><Relationship Id="rId13" Type="http://schemas.openxmlformats.org/officeDocument/2006/relationships/hyperlink" Target="http://www.census.gov/cgi-bin/sssd/naics/naicsrch?chart_code=31&amp;search=2012%20NAICS%20Search" TargetMode="External"/><Relationship Id="rId18" Type="http://schemas.openxmlformats.org/officeDocument/2006/relationships/hyperlink" Target="http://www.census.gov/cgi-bin/sssd/naics/naicsrch?chart_code=52&amp;search=2012%20NAICS%20Search" TargetMode="External"/><Relationship Id="rId26" Type="http://schemas.openxmlformats.org/officeDocument/2006/relationships/hyperlink" Target="http://www.census.gov/cgi-bin/sssd/naics/naicsrch?chart_code=81&amp;search=2012%20NAICS%20Search" TargetMode="External"/><Relationship Id="rId3" Type="http://schemas.microsoft.com/office/2007/relationships/stylesWithEffects" Target="stylesWithEffects.xml"/><Relationship Id="rId21" Type="http://schemas.openxmlformats.org/officeDocument/2006/relationships/hyperlink" Target="http://www.census.gov/cgi-bin/sssd/naics/naicsrch?chart_code=56&amp;search=2012%20NAICS%20Search"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census.gov/cgi-bin/sssd/naics/naicsrch?chart_code=23&amp;search=2012%20NAICS%20Search" TargetMode="External"/><Relationship Id="rId17" Type="http://schemas.openxmlformats.org/officeDocument/2006/relationships/hyperlink" Target="http://www.census.gov/cgi-bin/sssd/naics/naicsrch?chart_code=51&amp;search=2012%20NAICS%20Search" TargetMode="External"/><Relationship Id="rId25" Type="http://schemas.openxmlformats.org/officeDocument/2006/relationships/hyperlink" Target="http://www.census.gov/cgi-bin/sssd/naics/naicsrch?chart_code=72&amp;search=2012%20NAICS%20Search"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census.gov/cgi-bin/sssd/naics/naicsrch?chart_code=48&amp;search=2012%20NAICS%20Search" TargetMode="External"/><Relationship Id="rId20" Type="http://schemas.openxmlformats.org/officeDocument/2006/relationships/hyperlink" Target="http://www.census.gov/cgi-bin/sssd/naics/naicsrch?chart_code=54&amp;search=2012%20NAICS%20Search" TargetMode="External"/><Relationship Id="rId29" Type="http://schemas.openxmlformats.org/officeDocument/2006/relationships/hyperlink" Target="http://www.census.gov/prod/2/gen/96arc/iiaevans.pd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ensus.gov/cgi-bin/sssd/naics/naicsrch?chart_code=22&amp;search=2012%20NAICS%20Search" TargetMode="External"/><Relationship Id="rId24" Type="http://schemas.openxmlformats.org/officeDocument/2006/relationships/hyperlink" Target="http://www.census.gov/cgi-bin/sssd/naics/naicsrch?chart_code=71&amp;search=2012%20NAICS%20Search"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ensus.gov/cgi-bin/sssd/naics/naicsrch?chart_code=44&amp;search=2012%20NAICS%20Search" TargetMode="External"/><Relationship Id="rId23" Type="http://schemas.openxmlformats.org/officeDocument/2006/relationships/hyperlink" Target="http://www.census.gov/cgi-bin/sssd/naics/naicsrch?chart_code=62&amp;search=2012%20NAICS%20Search" TargetMode="External"/><Relationship Id="rId28" Type="http://schemas.openxmlformats.org/officeDocument/2006/relationships/hyperlink" Target="http://www.census.gov/econ/esp/getforms.html" TargetMode="External"/><Relationship Id="rId10" Type="http://schemas.openxmlformats.org/officeDocument/2006/relationships/hyperlink" Target="http://www.census.gov/cgi-bin/sssd/naics/naicsrch?chart_code=21&amp;search=2012%20NAICS%20Search" TargetMode="External"/><Relationship Id="rId19" Type="http://schemas.openxmlformats.org/officeDocument/2006/relationships/hyperlink" Target="http://www.census.gov/cgi-bin/sssd/naics/naicsrch?chart_code=53&amp;search=2012%20NAICS%20Search" TargetMode="External"/><Relationship Id="rId31" Type="http://schemas.openxmlformats.org/officeDocument/2006/relationships/hyperlink" Target="http://www.census.gov/eos/www/naics/" TargetMode="External"/><Relationship Id="rId4" Type="http://schemas.openxmlformats.org/officeDocument/2006/relationships/settings" Target="settings.xml"/><Relationship Id="rId9" Type="http://schemas.openxmlformats.org/officeDocument/2006/relationships/hyperlink" Target="http://www.census.gov/econ/esp/historical.html" TargetMode="External"/><Relationship Id="rId14" Type="http://schemas.openxmlformats.org/officeDocument/2006/relationships/hyperlink" Target="http://www.census.gov/cgi-bin/sssd/naics/naicsrch?chart_code=42&amp;search=2012%20NAICS%20Search" TargetMode="External"/><Relationship Id="rId22" Type="http://schemas.openxmlformats.org/officeDocument/2006/relationships/hyperlink" Target="http://www.census.gov/cgi-bin/sssd/naics/naicsrch?chart_code=61&amp;search=2012%20NAICS%20Search" TargetMode="External"/><Relationship Id="rId27" Type="http://schemas.openxmlformats.org/officeDocument/2006/relationships/hyperlink" Target="https://www.census.gov/econ/esp/esp07ecstree.html" TargetMode="External"/><Relationship Id="rId30" Type="http://schemas.openxmlformats.org/officeDocument/2006/relationships/hyperlink" Target="http://www.census.gov/econ/esp/esp07ecstre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DF33728A.dotm</Template>
  <TotalTime>5</TotalTime>
  <Pages>15</Pages>
  <Words>5255</Words>
  <Characters>29958</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U.S. Department of Commerce</Company>
  <LinksUpToDate>false</LinksUpToDate>
  <CharactersWithSpaces>35143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 Alan Dahl</dc:creator>
  <cp:lastModifiedBy>Lori Elizabeth Bowan</cp:lastModifiedBy>
  <cp:revision>3</cp:revision>
  <cp:lastPrinted>2016-06-14T17:06:00Z</cp:lastPrinted>
  <dcterms:created xsi:type="dcterms:W3CDTF">2016-06-15T18:34:00Z</dcterms:created>
  <dcterms:modified xsi:type="dcterms:W3CDTF">2016-06-15T18:46:00Z</dcterms:modified>
</cp:coreProperties>
</file>